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B2437" w14:textId="77777777" w:rsidR="0094431D" w:rsidRDefault="0094431D" w:rsidP="0094431D">
      <w:pPr>
        <w:pStyle w:val="Kop3"/>
        <w:spacing w:before="0"/>
      </w:pPr>
      <w:bookmarkStart w:id="0" w:name="_Toc80352551"/>
      <w:bookmarkStart w:id="1" w:name="_Toc80352938"/>
      <w:bookmarkStart w:id="2" w:name="_Toc80956851"/>
      <w:r w:rsidRPr="0039464E">
        <w:t>Polikliniek ouderenpsychiatrie: afhankelijk behoefte/mogelijkheid</w:t>
      </w:r>
      <w:r>
        <w:t xml:space="preserve"> (</w:t>
      </w:r>
      <w:r w:rsidRPr="0039464E">
        <w:t>1 -2 plaatsen</w:t>
      </w:r>
      <w:r>
        <w:t>)</w:t>
      </w:r>
      <w:bookmarkEnd w:id="0"/>
      <w:bookmarkEnd w:id="1"/>
      <w:bookmarkEnd w:id="2"/>
    </w:p>
    <w:p w14:paraId="0808F846" w14:textId="77777777" w:rsidR="0094431D" w:rsidRPr="002E2E90" w:rsidRDefault="0094431D" w:rsidP="0094431D"/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94431D" w:rsidRPr="0039464E" w14:paraId="58D369FB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5B2941F0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  <w:b/>
              </w:rPr>
              <w:t>Stagebeschrijving UCP – UMC Groningen</w:t>
            </w:r>
          </w:p>
        </w:tc>
      </w:tr>
      <w:tr w:rsidR="0094431D" w:rsidRPr="0039464E" w14:paraId="11EFEECA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41959B33" w14:textId="77777777" w:rsidR="0094431D" w:rsidRPr="0039464E" w:rsidRDefault="0094431D" w:rsidP="0094431D">
            <w:pPr>
              <w:rPr>
                <w:rFonts w:eastAsia="Times New Roman" w:cs="Arial"/>
                <w:lang w:val="en-US"/>
              </w:rPr>
            </w:pPr>
            <w:r w:rsidRPr="0039464E">
              <w:rPr>
                <w:rFonts w:eastAsia="Times New Roman" w:cs="Arial"/>
                <w:lang w:val="en-US"/>
              </w:rPr>
              <w:t>Naam van de stage</w:t>
            </w:r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236FC547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Polikliniek ouderenpsychiatrie</w:t>
            </w:r>
          </w:p>
        </w:tc>
      </w:tr>
      <w:tr w:rsidR="0094431D" w:rsidRPr="0039464E" w14:paraId="6920EE96" w14:textId="77777777" w:rsidTr="00556B5D">
        <w:tc>
          <w:tcPr>
            <w:tcW w:w="2552" w:type="dxa"/>
            <w:tcBorders>
              <w:right w:val="nil"/>
            </w:tcBorders>
          </w:tcPr>
          <w:p w14:paraId="3CA8857D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Aandachtsgebied </w:t>
            </w:r>
          </w:p>
        </w:tc>
        <w:tc>
          <w:tcPr>
            <w:tcW w:w="7088" w:type="dxa"/>
            <w:tcBorders>
              <w:left w:val="nil"/>
            </w:tcBorders>
          </w:tcPr>
          <w:p w14:paraId="2815D88A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Ouderenpsychiatrie</w:t>
            </w:r>
          </w:p>
        </w:tc>
      </w:tr>
      <w:tr w:rsidR="0094431D" w:rsidRPr="0039464E" w14:paraId="54DF146C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2F6DE322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Algemene informatie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25AF65BF" w14:textId="77777777" w:rsidR="0094431D" w:rsidRPr="0039464E" w:rsidRDefault="0094431D" w:rsidP="0094431D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 </w:t>
            </w:r>
          </w:p>
        </w:tc>
      </w:tr>
      <w:tr w:rsidR="0094431D" w:rsidRPr="0039464E" w14:paraId="7FEE4DAB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D1F4A61" w14:textId="77777777" w:rsidR="0094431D" w:rsidRPr="0039464E" w:rsidRDefault="0094431D" w:rsidP="0094431D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Patiëntenpopulatie</w:t>
            </w:r>
          </w:p>
          <w:p w14:paraId="0475283C" w14:textId="77777777" w:rsidR="0094431D" w:rsidRPr="0039464E" w:rsidRDefault="0094431D" w:rsidP="0094431D">
            <w:pPr>
              <w:rPr>
                <w:rFonts w:eastAsia="Times New Roman" w:cs="Arial"/>
              </w:rPr>
            </w:pP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1D9533BB" w14:textId="77777777" w:rsidR="0094431D" w:rsidRPr="0039464E" w:rsidRDefault="0094431D" w:rsidP="0094431D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Ouderen (60+) met een psychiatrische aandoening, met focus op tertiaire diagnostiek (second </w:t>
            </w:r>
            <w:proofErr w:type="spellStart"/>
            <w:r w:rsidRPr="0039464E">
              <w:rPr>
                <w:rFonts w:eastAsia="Times New Roman"/>
              </w:rPr>
              <w:t>opinions</w:t>
            </w:r>
            <w:proofErr w:type="spellEnd"/>
            <w:r w:rsidRPr="0039464E">
              <w:rPr>
                <w:rFonts w:eastAsia="Times New Roman"/>
              </w:rPr>
              <w:t>), therapieresistente affectieve stoornissen en (somatisch) kwetsbare ouderen.</w:t>
            </w:r>
          </w:p>
        </w:tc>
      </w:tr>
      <w:tr w:rsidR="0094431D" w:rsidRPr="0039464E" w14:paraId="4277D97D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742696EC" w14:textId="77777777" w:rsidR="0094431D" w:rsidRPr="0039464E" w:rsidRDefault="0094431D" w:rsidP="0094431D">
            <w:pPr>
              <w:numPr>
                <w:ilvl w:val="0"/>
                <w:numId w:val="3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Inbedding  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0778DB0B" w14:textId="43D0D3CD" w:rsidR="0094431D" w:rsidRPr="0039464E" w:rsidRDefault="0094431D" w:rsidP="0094431D">
            <w:pPr>
              <w:rPr>
                <w:rFonts w:eastAsia="Times New Roman"/>
              </w:rPr>
            </w:pPr>
            <w:r w:rsidRPr="0039464E">
              <w:rPr>
                <w:rFonts w:eastAsia="Times New Roman"/>
              </w:rPr>
              <w:t xml:space="preserve">Polikliniek binnen het Universitair Centrum Psychiatrie (UCP). Nieuwe verwijzingen worden ingepland voor een spoedintake (binnen 2 weken), reguliere intake (AIOS/psychiater samen met een psychodiagnostisch medewerker) of voor het multidisciplinaire </w:t>
            </w:r>
            <w:proofErr w:type="spellStart"/>
            <w:r w:rsidRPr="0039464E">
              <w:rPr>
                <w:rFonts w:eastAsia="Times New Roman"/>
              </w:rPr>
              <w:t>dagdiagnostisch</w:t>
            </w:r>
            <w:proofErr w:type="spellEnd"/>
            <w:r w:rsidRPr="0039464E">
              <w:rPr>
                <w:rFonts w:eastAsia="Times New Roman"/>
              </w:rPr>
              <w:t xml:space="preserve"> centrum. </w:t>
            </w:r>
          </w:p>
        </w:tc>
      </w:tr>
      <w:tr w:rsidR="0094431D" w:rsidRPr="0039464E" w14:paraId="043FA56A" w14:textId="77777777" w:rsidTr="00556B5D">
        <w:tc>
          <w:tcPr>
            <w:tcW w:w="2552" w:type="dxa"/>
            <w:tcBorders>
              <w:top w:val="nil"/>
              <w:bottom w:val="nil"/>
              <w:right w:val="nil"/>
            </w:tcBorders>
          </w:tcPr>
          <w:p w14:paraId="0ADF557F" w14:textId="77777777" w:rsidR="0094431D" w:rsidRPr="0039464E" w:rsidRDefault="0094431D" w:rsidP="0094431D">
            <w:pPr>
              <w:numPr>
                <w:ilvl w:val="0"/>
                <w:numId w:val="2"/>
              </w:num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Behandelingen</w:t>
            </w:r>
          </w:p>
        </w:tc>
        <w:tc>
          <w:tcPr>
            <w:tcW w:w="7088" w:type="dxa"/>
            <w:tcBorders>
              <w:top w:val="nil"/>
              <w:left w:val="nil"/>
              <w:bottom w:val="nil"/>
            </w:tcBorders>
          </w:tcPr>
          <w:p w14:paraId="34DFAEBF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Psychofarmacologie, psychotherapie (m.n. cognitieve gedragstherapie), </w:t>
            </w:r>
            <w:proofErr w:type="spellStart"/>
            <w:r w:rsidRPr="0039464E">
              <w:rPr>
                <w:rFonts w:eastAsia="Times New Roman" w:cs="Arial"/>
              </w:rPr>
              <w:t>sociaal-psychiatrische</w:t>
            </w:r>
            <w:proofErr w:type="spellEnd"/>
            <w:r w:rsidRPr="0039464E">
              <w:rPr>
                <w:rFonts w:eastAsia="Times New Roman" w:cs="Arial"/>
              </w:rPr>
              <w:t xml:space="preserve"> zorg (beperkt), inclusief innovatieve behandelingen buiten de richtlijnen.</w:t>
            </w:r>
          </w:p>
        </w:tc>
      </w:tr>
      <w:tr w:rsidR="0094431D" w:rsidRPr="0039464E" w14:paraId="47C47DB6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18B986B0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Wat kun je leren?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2070C3BD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Systematisch uitvoeren complexe (tertiaire) diagnostiek (incl. neuropsychologisch onderzoek, beeldvormend onderzoek, persoonlijkheidsdiagnostiek en autisme spectrum diagnostiek bij ouderen).</w:t>
            </w:r>
          </w:p>
          <w:p w14:paraId="2111ED2C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Reguliere poliklinische farmacologische en psychotherapeutische behandelingen van ouderen, m.n. gericht op stemmings-, angst-, somatische symptoomstoornissen, en persoonlijkheidsproblematiek.</w:t>
            </w:r>
          </w:p>
        </w:tc>
      </w:tr>
      <w:tr w:rsidR="0094431D" w:rsidRPr="0039464E" w14:paraId="7F3FABD1" w14:textId="77777777" w:rsidTr="00556B5D">
        <w:tc>
          <w:tcPr>
            <w:tcW w:w="2552" w:type="dxa"/>
            <w:tcBorders>
              <w:right w:val="nil"/>
            </w:tcBorders>
          </w:tcPr>
          <w:p w14:paraId="581788F4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Taken AIOS</w:t>
            </w:r>
          </w:p>
        </w:tc>
        <w:tc>
          <w:tcPr>
            <w:tcW w:w="7088" w:type="dxa"/>
            <w:tcBorders>
              <w:left w:val="nil"/>
            </w:tcBorders>
          </w:tcPr>
          <w:p w14:paraId="19EDF0AE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Uitvoeren van intakes (spoed, regulier, </w:t>
            </w:r>
            <w:proofErr w:type="spellStart"/>
            <w:r w:rsidRPr="0039464E">
              <w:rPr>
                <w:rFonts w:eastAsia="Times New Roman" w:cs="Arial"/>
              </w:rPr>
              <w:t>danwel</w:t>
            </w:r>
            <w:proofErr w:type="spellEnd"/>
            <w:r w:rsidRPr="0039464E">
              <w:rPr>
                <w:rFonts w:eastAsia="Times New Roman" w:cs="Arial"/>
              </w:rPr>
              <w:t xml:space="preserve"> als participerend binnen de </w:t>
            </w:r>
            <w:proofErr w:type="spellStart"/>
            <w:r w:rsidRPr="0039464E">
              <w:rPr>
                <w:rFonts w:eastAsia="Times New Roman" w:cs="Arial"/>
              </w:rPr>
              <w:t>dagdiagnostiek</w:t>
            </w:r>
            <w:proofErr w:type="spellEnd"/>
            <w:r w:rsidRPr="0039464E">
              <w:rPr>
                <w:rFonts w:eastAsia="Times New Roman" w:cs="Arial"/>
              </w:rPr>
              <w:t xml:space="preserve">). </w:t>
            </w:r>
          </w:p>
          <w:p w14:paraId="5836F63C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AIOS is uitvoerder van zowel de biologische als psychotherapeutische behandeling als het aansturen van een psychotherapeutische behandeling door een psycholoog en/of een diagnostische of steunende/structurerende behandeling door de SPV (onder supervisie van een psychiater). </w:t>
            </w:r>
          </w:p>
          <w:p w14:paraId="4F915062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Afhankelijk van de fase in de opleiding wordt een individueel programma samengesteld, waarbij nadruk gelegd kan worden op (tertiaire) diagnostiek, psychotherapie bij ouderen (cognitieve gedragstherapie of schematherapie) of complexe psychofarmacologie.</w:t>
            </w:r>
          </w:p>
          <w:p w14:paraId="14C5B1B8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Onderwijs aan </w:t>
            </w:r>
            <w:proofErr w:type="spellStart"/>
            <w:r w:rsidRPr="0039464E">
              <w:rPr>
                <w:rFonts w:eastAsia="Times New Roman" w:cs="Arial"/>
              </w:rPr>
              <w:t>co-assistenten</w:t>
            </w:r>
            <w:proofErr w:type="spellEnd"/>
            <w:r w:rsidRPr="0039464E">
              <w:rPr>
                <w:rFonts w:eastAsia="Times New Roman" w:cs="Arial"/>
              </w:rPr>
              <w:t xml:space="preserve"> en aan AIOS interne geneeskunde of geriatrie die hun psychiatrie stage op de poli ouderen invullen.</w:t>
            </w:r>
          </w:p>
        </w:tc>
      </w:tr>
      <w:tr w:rsidR="0094431D" w:rsidRPr="0039464E" w14:paraId="4B501FC9" w14:textId="77777777" w:rsidTr="00556B5D">
        <w:tc>
          <w:tcPr>
            <w:tcW w:w="2552" w:type="dxa"/>
            <w:tcBorders>
              <w:right w:val="nil"/>
            </w:tcBorders>
          </w:tcPr>
          <w:p w14:paraId="48AF782C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Weekoverzicht</w:t>
            </w:r>
          </w:p>
        </w:tc>
        <w:tc>
          <w:tcPr>
            <w:tcW w:w="7088" w:type="dxa"/>
            <w:tcBorders>
              <w:left w:val="nil"/>
            </w:tcBorders>
          </w:tcPr>
          <w:p w14:paraId="0EA20495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Maandag (09:00 - 16:00u): </w:t>
            </w:r>
            <w:proofErr w:type="spellStart"/>
            <w:r w:rsidRPr="0039464E">
              <w:rPr>
                <w:rFonts w:eastAsia="Times New Roman" w:cs="Arial"/>
              </w:rPr>
              <w:t>Dagdiagnostiek</w:t>
            </w:r>
            <w:proofErr w:type="spellEnd"/>
            <w:r w:rsidRPr="0039464E">
              <w:rPr>
                <w:rFonts w:eastAsia="Times New Roman" w:cs="Arial"/>
              </w:rPr>
              <w:t xml:space="preserve"> programma</w:t>
            </w:r>
          </w:p>
          <w:p w14:paraId="78967E60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Dinsdag (11:00 - 12:30u): Multidisciplinair overleg (MDO)</w:t>
            </w:r>
          </w:p>
          <w:p w14:paraId="407B1632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Vrij te plannen:</w:t>
            </w:r>
          </w:p>
          <w:p w14:paraId="4D0F569A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Werkoverleg psychiater (1 uur per week)</w:t>
            </w:r>
          </w:p>
          <w:p w14:paraId="607A3500" w14:textId="77777777" w:rsidR="0094431D" w:rsidRPr="0039464E" w:rsidRDefault="0094431D" w:rsidP="0094431D">
            <w:pPr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Supervisie psychotherapie (1 uur per week)</w:t>
            </w:r>
          </w:p>
        </w:tc>
      </w:tr>
    </w:tbl>
    <w:p w14:paraId="5BE0333E" w14:textId="77777777" w:rsidR="0094431D" w:rsidRPr="0039464E" w:rsidRDefault="0094431D" w:rsidP="0094431D">
      <w:pPr>
        <w:rPr>
          <w:rFonts w:eastAsia="Times New Roman"/>
        </w:rPr>
      </w:pPr>
    </w:p>
    <w:p w14:paraId="431AA777" w14:textId="77777777" w:rsidR="0094431D" w:rsidRPr="0039464E" w:rsidRDefault="0094431D" w:rsidP="0094431D">
      <w:pPr>
        <w:rPr>
          <w:rFonts w:eastAsia="Times New Roman"/>
        </w:rPr>
      </w:pPr>
      <w:r w:rsidRPr="0039464E">
        <w:rPr>
          <w:rFonts w:eastAsia="Times New Roman"/>
        </w:rPr>
        <w:br w:type="page"/>
      </w:r>
    </w:p>
    <w:tbl>
      <w:tblPr>
        <w:tblW w:w="964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088"/>
      </w:tblGrid>
      <w:tr w:rsidR="0094431D" w:rsidRPr="0039464E" w14:paraId="7B5E3F93" w14:textId="77777777" w:rsidTr="00556B5D">
        <w:tc>
          <w:tcPr>
            <w:tcW w:w="9640" w:type="dxa"/>
            <w:gridSpan w:val="2"/>
            <w:tcBorders>
              <w:bottom w:val="double" w:sz="4" w:space="0" w:color="auto"/>
            </w:tcBorders>
          </w:tcPr>
          <w:p w14:paraId="7097672E" w14:textId="77777777" w:rsidR="0094431D" w:rsidRPr="0039464E" w:rsidRDefault="0094431D" w:rsidP="0094431D">
            <w:pPr>
              <w:snapToGrid w:val="0"/>
              <w:rPr>
                <w:rFonts w:eastAsia="Times New Roman" w:cs="Arial"/>
                <w:b/>
              </w:rPr>
            </w:pPr>
            <w:r w:rsidRPr="0039464E">
              <w:rPr>
                <w:rFonts w:eastAsia="Times New Roman"/>
                <w:b/>
              </w:rPr>
              <w:lastRenderedPageBreak/>
              <w:br w:type="page"/>
            </w:r>
            <w:r w:rsidRPr="0039464E">
              <w:rPr>
                <w:rFonts w:eastAsia="Times New Roman" w:cs="Arial"/>
                <w:b/>
              </w:rPr>
              <w:t>Statistieken volgens landelijk opleidingsplan ‘de Psychiater’</w:t>
            </w:r>
          </w:p>
        </w:tc>
      </w:tr>
      <w:tr w:rsidR="0094431D" w:rsidRPr="0039464E" w14:paraId="629E98BA" w14:textId="77777777" w:rsidTr="00556B5D">
        <w:tc>
          <w:tcPr>
            <w:tcW w:w="2552" w:type="dxa"/>
            <w:tcBorders>
              <w:top w:val="double" w:sz="4" w:space="0" w:color="auto"/>
              <w:right w:val="nil"/>
            </w:tcBorders>
          </w:tcPr>
          <w:p w14:paraId="69B9F1F2" w14:textId="77777777" w:rsidR="0094431D" w:rsidRPr="0039464E" w:rsidRDefault="0094431D" w:rsidP="0094431D">
            <w:pPr>
              <w:snapToGrid w:val="0"/>
              <w:rPr>
                <w:rFonts w:eastAsia="Times New Roman" w:cs="Arial"/>
                <w:lang w:val="en-US"/>
              </w:rPr>
            </w:pPr>
            <w:r w:rsidRPr="0039464E">
              <w:rPr>
                <w:rFonts w:eastAsia="Times New Roman" w:cs="Arial"/>
                <w:lang w:val="en-US"/>
              </w:rPr>
              <w:t xml:space="preserve">Datum </w:t>
            </w:r>
            <w:proofErr w:type="spellStart"/>
            <w:r w:rsidRPr="0039464E">
              <w:rPr>
                <w:rFonts w:eastAsia="Times New Roman" w:cs="Arial"/>
                <w:lang w:val="en-US"/>
              </w:rPr>
              <w:t>stagebeschrijving</w:t>
            </w:r>
            <w:proofErr w:type="spellEnd"/>
          </w:p>
        </w:tc>
        <w:tc>
          <w:tcPr>
            <w:tcW w:w="7088" w:type="dxa"/>
            <w:tcBorders>
              <w:top w:val="double" w:sz="4" w:space="0" w:color="auto"/>
              <w:left w:val="nil"/>
            </w:tcBorders>
          </w:tcPr>
          <w:p w14:paraId="1D83C162" w14:textId="36EA37B7" w:rsidR="0094431D" w:rsidRPr="0039464E" w:rsidRDefault="003601CC" w:rsidP="0094431D">
            <w:pPr>
              <w:snapToGrid w:val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Maart</w:t>
            </w:r>
            <w:r w:rsidR="0094431D" w:rsidRPr="0039464E">
              <w:rPr>
                <w:rFonts w:eastAsia="Times New Roman" w:cs="Arial"/>
              </w:rPr>
              <w:t xml:space="preserve"> 202</w:t>
            </w:r>
            <w:r>
              <w:rPr>
                <w:rFonts w:eastAsia="Times New Roman" w:cs="Arial"/>
              </w:rPr>
              <w:t>3</w:t>
            </w:r>
          </w:p>
        </w:tc>
      </w:tr>
      <w:tr w:rsidR="0094431D" w:rsidRPr="0039464E" w14:paraId="54E46EDA" w14:textId="77777777" w:rsidTr="00556B5D">
        <w:tc>
          <w:tcPr>
            <w:tcW w:w="2552" w:type="dxa"/>
            <w:tcBorders>
              <w:right w:val="nil"/>
            </w:tcBorders>
          </w:tcPr>
          <w:p w14:paraId="79560663" w14:textId="77777777" w:rsidR="0094431D" w:rsidRPr="0039464E" w:rsidRDefault="0094431D" w:rsidP="0094431D">
            <w:pPr>
              <w:snapToGrid w:val="0"/>
              <w:rPr>
                <w:rFonts w:eastAsia="Times New Roman" w:cs="Arial"/>
                <w:lang w:val="en-US"/>
              </w:rPr>
            </w:pPr>
            <w:proofErr w:type="spellStart"/>
            <w:r w:rsidRPr="0039464E">
              <w:rPr>
                <w:rFonts w:eastAsia="Times New Roman" w:cs="Arial"/>
                <w:lang w:val="en-US"/>
              </w:rPr>
              <w:t>Locatie</w:t>
            </w:r>
            <w:proofErr w:type="spellEnd"/>
            <w:r w:rsidRPr="0039464E">
              <w:rPr>
                <w:rFonts w:eastAsia="Times New Roman" w:cs="Arial"/>
                <w:lang w:val="en-US"/>
              </w:rPr>
              <w:t xml:space="preserve"> van de </w:t>
            </w:r>
            <w:proofErr w:type="spellStart"/>
            <w:r w:rsidRPr="0039464E">
              <w:rPr>
                <w:rFonts w:eastAsia="Times New Roman" w:cs="Arial"/>
                <w:lang w:val="en-US"/>
              </w:rPr>
              <w:t>afdeling</w:t>
            </w:r>
            <w:proofErr w:type="spellEnd"/>
          </w:p>
        </w:tc>
        <w:tc>
          <w:tcPr>
            <w:tcW w:w="7088" w:type="dxa"/>
            <w:tcBorders>
              <w:left w:val="nil"/>
            </w:tcBorders>
          </w:tcPr>
          <w:p w14:paraId="743FF69A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Universitair Centrum Psychiatrie (UCP), UMC Groningen</w:t>
            </w:r>
          </w:p>
        </w:tc>
      </w:tr>
      <w:tr w:rsidR="0094431D" w:rsidRPr="0039464E" w14:paraId="324BC750" w14:textId="77777777" w:rsidTr="00556B5D">
        <w:tc>
          <w:tcPr>
            <w:tcW w:w="2552" w:type="dxa"/>
            <w:tcBorders>
              <w:right w:val="nil"/>
            </w:tcBorders>
          </w:tcPr>
          <w:p w14:paraId="5A7D733E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Opleidingsjaar</w:t>
            </w:r>
          </w:p>
        </w:tc>
        <w:tc>
          <w:tcPr>
            <w:tcW w:w="7088" w:type="dxa"/>
            <w:tcBorders>
              <w:left w:val="nil"/>
            </w:tcBorders>
          </w:tcPr>
          <w:p w14:paraId="19BAE765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Alle (zowel ouderen in kader van KVO als keuze)</w:t>
            </w:r>
          </w:p>
        </w:tc>
      </w:tr>
      <w:tr w:rsidR="0094431D" w:rsidRPr="0039464E" w14:paraId="49744A11" w14:textId="77777777" w:rsidTr="00556B5D">
        <w:tc>
          <w:tcPr>
            <w:tcW w:w="2552" w:type="dxa"/>
            <w:tcBorders>
              <w:right w:val="nil"/>
            </w:tcBorders>
          </w:tcPr>
          <w:p w14:paraId="202A15B1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Duur van de stage</w:t>
            </w:r>
          </w:p>
        </w:tc>
        <w:tc>
          <w:tcPr>
            <w:tcW w:w="7088" w:type="dxa"/>
            <w:tcBorders>
              <w:left w:val="nil"/>
            </w:tcBorders>
          </w:tcPr>
          <w:p w14:paraId="098EE1AC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Minimaal 6 en maximaal 12 maanden. Indien voor een 12 maanden stage gekozen wordt, kan deze ook in combinatie met de stage ‘deeltijd ouderenpsychiatrie’ of de stage ‘consultatieve ouderenpsychiatrie’.</w:t>
            </w:r>
          </w:p>
        </w:tc>
      </w:tr>
      <w:tr w:rsidR="0094431D" w:rsidRPr="0039464E" w14:paraId="2E28621D" w14:textId="77777777" w:rsidTr="00556B5D">
        <w:tc>
          <w:tcPr>
            <w:tcW w:w="2552" w:type="dxa"/>
            <w:tcBorders>
              <w:right w:val="nil"/>
            </w:tcBorders>
          </w:tcPr>
          <w:p w14:paraId="0D4A4C10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Aanstelling</w:t>
            </w:r>
          </w:p>
        </w:tc>
        <w:tc>
          <w:tcPr>
            <w:tcW w:w="7088" w:type="dxa"/>
            <w:tcBorders>
              <w:left w:val="nil"/>
            </w:tcBorders>
          </w:tcPr>
          <w:p w14:paraId="7654CC2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Minimaal 0.8 fte en maximaal 1.0 fte</w:t>
            </w:r>
          </w:p>
        </w:tc>
      </w:tr>
      <w:tr w:rsidR="0094431D" w:rsidRPr="0039464E" w14:paraId="6294178B" w14:textId="77777777" w:rsidTr="00556B5D">
        <w:tc>
          <w:tcPr>
            <w:tcW w:w="2552" w:type="dxa"/>
            <w:tcBorders>
              <w:bottom w:val="single" w:sz="4" w:space="0" w:color="auto"/>
              <w:right w:val="nil"/>
            </w:tcBorders>
          </w:tcPr>
          <w:p w14:paraId="5E48AEB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Supervisor </w:t>
            </w:r>
          </w:p>
        </w:tc>
        <w:tc>
          <w:tcPr>
            <w:tcW w:w="7088" w:type="dxa"/>
            <w:tcBorders>
              <w:left w:val="nil"/>
              <w:bottom w:val="single" w:sz="4" w:space="0" w:color="auto"/>
            </w:tcBorders>
          </w:tcPr>
          <w:p w14:paraId="256303C3" w14:textId="4EEDAACA" w:rsidR="0094431D" w:rsidRPr="0039464E" w:rsidRDefault="003601CC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dr. H.W. Jeuring</w:t>
            </w:r>
            <w:r w:rsidRPr="0039464E">
              <w:rPr>
                <w:rFonts w:eastAsia="Times New Roman" w:cs="Arial"/>
              </w:rPr>
              <w:t xml:space="preserve"> </w:t>
            </w:r>
            <w:r w:rsidR="0094431D" w:rsidRPr="0039464E">
              <w:rPr>
                <w:rFonts w:eastAsia="Times New Roman" w:cs="Arial"/>
              </w:rPr>
              <w:t>(chef-de-</w:t>
            </w:r>
            <w:proofErr w:type="spellStart"/>
            <w:r w:rsidR="0094431D" w:rsidRPr="0039464E">
              <w:rPr>
                <w:rFonts w:eastAsia="Times New Roman" w:cs="Arial"/>
              </w:rPr>
              <w:t>policlinique</w:t>
            </w:r>
            <w:proofErr w:type="spellEnd"/>
            <w:r w:rsidR="0094431D" w:rsidRPr="0039464E">
              <w:rPr>
                <w:rFonts w:eastAsia="Times New Roman" w:cs="Arial"/>
              </w:rPr>
              <w:t>) of</w:t>
            </w:r>
            <w:r>
              <w:rPr>
                <w:rFonts w:eastAsia="Times New Roman" w:cs="Arial"/>
              </w:rPr>
              <w:t xml:space="preserve"> dr. J. Huzen</w:t>
            </w:r>
          </w:p>
        </w:tc>
      </w:tr>
      <w:tr w:rsidR="0094431D" w:rsidRPr="0039464E" w14:paraId="67E82AED" w14:textId="77777777" w:rsidTr="00556B5D">
        <w:tc>
          <w:tcPr>
            <w:tcW w:w="2552" w:type="dxa"/>
            <w:tcBorders>
              <w:bottom w:val="nil"/>
              <w:right w:val="nil"/>
            </w:tcBorders>
          </w:tcPr>
          <w:p w14:paraId="6658292D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Thema’s:</w:t>
            </w:r>
          </w:p>
        </w:tc>
        <w:tc>
          <w:tcPr>
            <w:tcW w:w="7088" w:type="dxa"/>
            <w:tcBorders>
              <w:left w:val="nil"/>
              <w:bottom w:val="nil"/>
            </w:tcBorders>
          </w:tcPr>
          <w:p w14:paraId="5F30A2F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</w:p>
        </w:tc>
      </w:tr>
      <w:tr w:rsidR="0094431D" w:rsidRPr="0039464E" w14:paraId="23F0D4DC" w14:textId="77777777" w:rsidTr="00556B5D">
        <w:tc>
          <w:tcPr>
            <w:tcW w:w="2552" w:type="dxa"/>
            <w:tcBorders>
              <w:top w:val="nil"/>
              <w:right w:val="nil"/>
            </w:tcBorders>
          </w:tcPr>
          <w:p w14:paraId="50C3C074" w14:textId="77777777" w:rsidR="0094431D" w:rsidRPr="0039464E" w:rsidRDefault="0094431D" w:rsidP="0094431D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Behandelcontext</w:t>
            </w:r>
          </w:p>
        </w:tc>
        <w:tc>
          <w:tcPr>
            <w:tcW w:w="7088" w:type="dxa"/>
            <w:tcBorders>
              <w:top w:val="nil"/>
              <w:left w:val="nil"/>
            </w:tcBorders>
          </w:tcPr>
          <w:p w14:paraId="00BB13BC" w14:textId="77777777" w:rsidR="0094431D" w:rsidRPr="0039464E" w:rsidRDefault="0094431D" w:rsidP="0094431D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eastAsia="Cambria" w:cs="Times-Roman"/>
              </w:rPr>
            </w:pPr>
            <w:r w:rsidRPr="0039464E">
              <w:rPr>
                <w:rFonts w:eastAsia="Cambria" w:cs="Times-Roman"/>
              </w:rPr>
              <w:t>Poliklinische psychiatrie</w:t>
            </w:r>
          </w:p>
        </w:tc>
      </w:tr>
      <w:tr w:rsidR="0094431D" w:rsidRPr="0039464E" w14:paraId="3021EFC6" w14:textId="77777777" w:rsidTr="00556B5D">
        <w:tc>
          <w:tcPr>
            <w:tcW w:w="2552" w:type="dxa"/>
            <w:tcBorders>
              <w:right w:val="nil"/>
            </w:tcBorders>
          </w:tcPr>
          <w:p w14:paraId="6922D34A" w14:textId="77777777" w:rsidR="0094431D" w:rsidRPr="0039464E" w:rsidRDefault="0094431D" w:rsidP="0094431D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Leeftijd</w:t>
            </w:r>
          </w:p>
        </w:tc>
        <w:tc>
          <w:tcPr>
            <w:tcW w:w="7088" w:type="dxa"/>
            <w:tcBorders>
              <w:left w:val="nil"/>
            </w:tcBorders>
          </w:tcPr>
          <w:p w14:paraId="78109B47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Ouderen</w:t>
            </w:r>
          </w:p>
        </w:tc>
      </w:tr>
      <w:tr w:rsidR="0094431D" w:rsidRPr="0039464E" w14:paraId="7B09B9DC" w14:textId="77777777" w:rsidTr="00556B5D">
        <w:tc>
          <w:tcPr>
            <w:tcW w:w="2552" w:type="dxa"/>
            <w:tcBorders>
              <w:right w:val="nil"/>
            </w:tcBorders>
          </w:tcPr>
          <w:p w14:paraId="20F857DF" w14:textId="77777777" w:rsidR="0094431D" w:rsidRPr="0039464E" w:rsidRDefault="0094431D" w:rsidP="0094431D">
            <w:pPr>
              <w:numPr>
                <w:ilvl w:val="0"/>
                <w:numId w:val="1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Deelterrein</w:t>
            </w:r>
          </w:p>
        </w:tc>
        <w:tc>
          <w:tcPr>
            <w:tcW w:w="7088" w:type="dxa"/>
            <w:tcBorders>
              <w:left w:val="nil"/>
            </w:tcBorders>
          </w:tcPr>
          <w:p w14:paraId="724FD0CA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Verschillende differentiaties zijn mogelijk, waarbij m.n. psychotherapie en wetenschap binnen de ouderenpsychiatrie goed gefaciliteerd kunnen worden. In gezamenlijk overleg wordt hiervoor een specifiek programma en een specifieke supervisor aangewezen.</w:t>
            </w:r>
          </w:p>
        </w:tc>
      </w:tr>
      <w:tr w:rsidR="0094431D" w:rsidRPr="0039464E" w14:paraId="73267BB9" w14:textId="77777777" w:rsidTr="00556B5D">
        <w:tc>
          <w:tcPr>
            <w:tcW w:w="2552" w:type="dxa"/>
            <w:tcBorders>
              <w:right w:val="nil"/>
            </w:tcBorders>
          </w:tcPr>
          <w:p w14:paraId="3F2C1D17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Te behalen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en Competenties (zie de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en bijbehorende competenties in LOP’ de psychiater’ </w:t>
            </w:r>
          </w:p>
        </w:tc>
        <w:tc>
          <w:tcPr>
            <w:tcW w:w="7088" w:type="dxa"/>
            <w:tcBorders>
              <w:left w:val="nil"/>
            </w:tcBorders>
          </w:tcPr>
          <w:p w14:paraId="1A64D20D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Alle tien </w:t>
            </w:r>
            <w:proofErr w:type="spellStart"/>
            <w:r w:rsidRPr="0039464E">
              <w:rPr>
                <w:rFonts w:eastAsia="Times New Roman" w:cs="Arial"/>
              </w:rPr>
              <w:t>EPA’s</w:t>
            </w:r>
            <w:proofErr w:type="spellEnd"/>
            <w:r w:rsidRPr="0039464E">
              <w:rPr>
                <w:rFonts w:eastAsia="Times New Roman" w:cs="Arial"/>
              </w:rPr>
              <w:t xml:space="preserve"> zijn relevant voor deze stage en komen in voldoende mate aan bod voor de AIOS om zich hierin verder te bekwamen. </w:t>
            </w:r>
          </w:p>
          <w:p w14:paraId="28DAF645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EPA 1 (psychiatrisch onderzoek uitvoeren en een behandelplan opstellen) en EPA 7 (suïcidaliteitsbeoordeling) uiteraard enkel levensfase-context specifieke criteria voor ouderen.</w:t>
            </w:r>
          </w:p>
        </w:tc>
      </w:tr>
      <w:tr w:rsidR="0094431D" w:rsidRPr="0039464E" w14:paraId="73065A24" w14:textId="77777777" w:rsidTr="00556B5D">
        <w:tc>
          <w:tcPr>
            <w:tcW w:w="2552" w:type="dxa"/>
            <w:tcBorders>
              <w:right w:val="nil"/>
            </w:tcBorders>
          </w:tcPr>
          <w:p w14:paraId="26654D10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Ziektebeelden: </w:t>
            </w:r>
          </w:p>
          <w:p w14:paraId="174A252C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</w:p>
        </w:tc>
        <w:tc>
          <w:tcPr>
            <w:tcW w:w="7088" w:type="dxa"/>
            <w:tcBorders>
              <w:left w:val="nil"/>
            </w:tcBorders>
          </w:tcPr>
          <w:p w14:paraId="1280D1F8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De nadruk ligt op (therapieresistente) affectieve stoornissen (stemmings-, angst- en somatische symptoomstoornissen), veelal in combinatie met onderliggende persoonlijkheidsstoornissen, autisme spectrum stoornissen, beginnende neurodegeneratieve beelden of fysieke kwetsbaarheid (</w:t>
            </w:r>
            <w:proofErr w:type="spellStart"/>
            <w:r w:rsidRPr="0039464E">
              <w:rPr>
                <w:rFonts w:eastAsia="Times New Roman" w:cs="Arial"/>
              </w:rPr>
              <w:t>frailty</w:t>
            </w:r>
            <w:proofErr w:type="spellEnd"/>
            <w:r w:rsidRPr="0039464E">
              <w:rPr>
                <w:rFonts w:eastAsia="Times New Roman" w:cs="Arial"/>
              </w:rPr>
              <w:t xml:space="preserve">). </w:t>
            </w:r>
          </w:p>
          <w:p w14:paraId="7303C76B" w14:textId="77777777" w:rsidR="0094431D" w:rsidRPr="0039464E" w:rsidRDefault="0094431D" w:rsidP="0094431D">
            <w:pPr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Arial"/>
              </w:rPr>
              <w:t>Daarnaast worden met enige regelmaat ouderen met een bipolaire stoornis (10%), verslavingen (10%), of psychotische stoornissen (10%) gezien.</w:t>
            </w:r>
          </w:p>
        </w:tc>
      </w:tr>
      <w:tr w:rsidR="0094431D" w:rsidRPr="0039464E" w14:paraId="0BEDDEEE" w14:textId="77777777" w:rsidTr="00556B5D">
        <w:tc>
          <w:tcPr>
            <w:tcW w:w="2552" w:type="dxa"/>
            <w:tcBorders>
              <w:right w:val="nil"/>
            </w:tcBorders>
          </w:tcPr>
          <w:p w14:paraId="55BD0419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Leermiddelen</w:t>
            </w:r>
          </w:p>
        </w:tc>
        <w:tc>
          <w:tcPr>
            <w:tcW w:w="7088" w:type="dxa"/>
            <w:tcBorders>
              <w:left w:val="nil"/>
            </w:tcBorders>
          </w:tcPr>
          <w:p w14:paraId="4F53180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Opleidingsactiviteiten:</w:t>
            </w:r>
          </w:p>
          <w:p w14:paraId="41CCF844" w14:textId="77777777" w:rsidR="0094431D" w:rsidRPr="0039464E" w:rsidRDefault="0094431D" w:rsidP="0094431D">
            <w:pPr>
              <w:numPr>
                <w:ilvl w:val="0"/>
                <w:numId w:val="4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Naast leertherapie, wordt voor jongerejaars AIOS het mentoraat (supervisie door psychiater niet verbonden aan de afdeling) en voor ouderejaars intervisie met collega AIOS gefaciliteerd.</w:t>
            </w:r>
          </w:p>
          <w:p w14:paraId="6F5D25FC" w14:textId="77777777" w:rsidR="0094431D" w:rsidRPr="0039464E" w:rsidRDefault="0094431D" w:rsidP="0094431D">
            <w:pPr>
              <w:numPr>
                <w:ilvl w:val="0"/>
                <w:numId w:val="4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Wekelijks werkbegeleiding door supervisor (psychiater); op verzoek sluit psychiater aan bij individuele patiëntcontacten.</w:t>
            </w:r>
          </w:p>
          <w:p w14:paraId="63873A38" w14:textId="77777777" w:rsidR="0094431D" w:rsidRPr="0039464E" w:rsidRDefault="0094431D" w:rsidP="0094431D">
            <w:pPr>
              <w:numPr>
                <w:ilvl w:val="0"/>
                <w:numId w:val="4"/>
              </w:num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Afhankelijk van leerpunten, wekelijks supervisie psychotherapie door een klinisch psycholoog.</w:t>
            </w:r>
          </w:p>
          <w:p w14:paraId="55D151FB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Onderwijs binnen algemene opleidingsgedeelte: </w:t>
            </w:r>
          </w:p>
          <w:p w14:paraId="5A42E9A4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Volledige donderdag, in de ochtend (09.00-12.30u) afwisselend landelijk kennisonderwijs en psychotherapie onderwijs. In de middag </w:t>
            </w:r>
            <w:proofErr w:type="spellStart"/>
            <w:r w:rsidRPr="0039464E">
              <w:rPr>
                <w:rFonts w:eastAsia="Times New Roman" w:cs="Arial"/>
              </w:rPr>
              <w:t>journalclub</w:t>
            </w:r>
            <w:proofErr w:type="spellEnd"/>
            <w:r w:rsidRPr="0039464E">
              <w:rPr>
                <w:rFonts w:eastAsia="Times New Roman" w:cs="Arial"/>
              </w:rPr>
              <w:t xml:space="preserve"> (15:00-16:00u) en afwisselend (16:00-17:30u) CAT en klinische vaardigheden onderwijs.</w:t>
            </w:r>
          </w:p>
          <w:p w14:paraId="540A2227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Onderwijs binnen profiel ouderenpsychiatrie:</w:t>
            </w:r>
          </w:p>
          <w:p w14:paraId="23CD096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Afwisselend op vrijdagen het landelijke onderwijs ouderenpsychiatrie en het regionaal onderwijs ouderenpsychiatrie (2e vrijdag van de maand, gehele dag met intervisie psychotherapie, klinisch demonstratie, </w:t>
            </w:r>
            <w:proofErr w:type="spellStart"/>
            <w:r w:rsidRPr="0039464E">
              <w:rPr>
                <w:rFonts w:eastAsia="Times New Roman" w:cs="Arial"/>
              </w:rPr>
              <w:t>journalclub</w:t>
            </w:r>
            <w:proofErr w:type="spellEnd"/>
            <w:r w:rsidRPr="0039464E">
              <w:rPr>
                <w:rFonts w:eastAsia="Times New Roman" w:cs="Arial"/>
              </w:rPr>
              <w:t>, somatisch onderwijs interne geneeskunde en somatisch onderwijs neurologie.</w:t>
            </w:r>
          </w:p>
        </w:tc>
      </w:tr>
      <w:tr w:rsidR="0094431D" w:rsidRPr="0039464E" w14:paraId="78E76D03" w14:textId="77777777" w:rsidTr="00556B5D">
        <w:tc>
          <w:tcPr>
            <w:tcW w:w="2552" w:type="dxa"/>
            <w:tcBorders>
              <w:right w:val="nil"/>
            </w:tcBorders>
          </w:tcPr>
          <w:p w14:paraId="3F8DFA45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Evaluaties (per half jaar)</w:t>
            </w:r>
          </w:p>
        </w:tc>
        <w:tc>
          <w:tcPr>
            <w:tcW w:w="7088" w:type="dxa"/>
            <w:tcBorders>
              <w:left w:val="nil"/>
            </w:tcBorders>
          </w:tcPr>
          <w:p w14:paraId="44C7108B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- Minimaal 4 </w:t>
            </w:r>
            <w:proofErr w:type="spellStart"/>
            <w:r w:rsidRPr="0039464E">
              <w:rPr>
                <w:rFonts w:eastAsia="Times New Roman" w:cs="Arial"/>
              </w:rPr>
              <w:t>KPB’s</w:t>
            </w:r>
            <w:proofErr w:type="spellEnd"/>
            <w:r w:rsidRPr="0039464E">
              <w:rPr>
                <w:rFonts w:eastAsia="Times New Roman" w:cs="Arial"/>
              </w:rPr>
              <w:t>.</w:t>
            </w:r>
          </w:p>
          <w:p w14:paraId="23D2786B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- 360 graden beoordeling.</w:t>
            </w:r>
          </w:p>
          <w:p w14:paraId="5C626521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Minimaal 2x beoordeling van brief en 2x van dossiervoering.</w:t>
            </w:r>
          </w:p>
          <w:p w14:paraId="45CE8F09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- Minimaal 1x beoordeling CAT en 1x </w:t>
            </w:r>
            <w:proofErr w:type="spellStart"/>
            <w:r w:rsidRPr="0039464E">
              <w:rPr>
                <w:rFonts w:eastAsia="Times New Roman" w:cs="GillSansMT"/>
              </w:rPr>
              <w:t>journalclub</w:t>
            </w:r>
            <w:proofErr w:type="spellEnd"/>
            <w:r w:rsidRPr="0039464E">
              <w:rPr>
                <w:rFonts w:eastAsia="Times New Roman" w:cs="GillSansMT"/>
              </w:rPr>
              <w:t>.</w:t>
            </w:r>
          </w:p>
          <w:p w14:paraId="20522343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Minimaal twee voortgangsgesprekken met supervisor.</w:t>
            </w:r>
          </w:p>
          <w:p w14:paraId="0A1F96C3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Kennistoetsen landelijk Psychiatrie Onderwijs.</w:t>
            </w:r>
          </w:p>
        </w:tc>
      </w:tr>
      <w:tr w:rsidR="0094431D" w:rsidRPr="0039464E" w14:paraId="46B4E708" w14:textId="77777777" w:rsidTr="00556B5D">
        <w:tc>
          <w:tcPr>
            <w:tcW w:w="2552" w:type="dxa"/>
            <w:tcBorders>
              <w:right w:val="nil"/>
            </w:tcBorders>
          </w:tcPr>
          <w:p w14:paraId="614DF271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lastRenderedPageBreak/>
              <w:t>Doelstelling en doelgroep</w:t>
            </w:r>
          </w:p>
        </w:tc>
        <w:tc>
          <w:tcPr>
            <w:tcW w:w="7088" w:type="dxa"/>
            <w:tcBorders>
              <w:left w:val="nil"/>
            </w:tcBorders>
          </w:tcPr>
          <w:p w14:paraId="065AB7B0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- Complexe diagnostiek bij ouderen met een psychiatrische stoornis. </w:t>
            </w:r>
          </w:p>
          <w:p w14:paraId="61459E39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- Psychiatrische behandelprincipes bij de oudere patiënt.</w:t>
            </w:r>
          </w:p>
          <w:p w14:paraId="46D3CEE4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- Interdisciplinair werken.</w:t>
            </w:r>
          </w:p>
        </w:tc>
      </w:tr>
      <w:tr w:rsidR="0094431D" w:rsidRPr="0039464E" w14:paraId="61ABCA65" w14:textId="77777777" w:rsidTr="00556B5D">
        <w:tc>
          <w:tcPr>
            <w:tcW w:w="2552" w:type="dxa"/>
            <w:tcBorders>
              <w:right w:val="nil"/>
            </w:tcBorders>
          </w:tcPr>
          <w:p w14:paraId="250FEE75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Werkbelasting</w:t>
            </w:r>
          </w:p>
        </w:tc>
        <w:tc>
          <w:tcPr>
            <w:tcW w:w="7088" w:type="dxa"/>
            <w:tcBorders>
              <w:left w:val="nil"/>
            </w:tcBorders>
          </w:tcPr>
          <w:p w14:paraId="6F3BBC18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Goede balans zowel binnen aanstelling van 0.8 als 1.0 fte.</w:t>
            </w:r>
          </w:p>
        </w:tc>
      </w:tr>
      <w:tr w:rsidR="0094431D" w:rsidRPr="004C5C56" w14:paraId="13B155D4" w14:textId="77777777" w:rsidTr="00556B5D">
        <w:tc>
          <w:tcPr>
            <w:tcW w:w="2552" w:type="dxa"/>
            <w:tcBorders>
              <w:right w:val="nil"/>
            </w:tcBorders>
          </w:tcPr>
          <w:p w14:paraId="16807144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Samenstelling team</w:t>
            </w:r>
          </w:p>
        </w:tc>
        <w:tc>
          <w:tcPr>
            <w:tcW w:w="7088" w:type="dxa"/>
            <w:tcBorders>
              <w:left w:val="nil"/>
            </w:tcBorders>
          </w:tcPr>
          <w:p w14:paraId="5885F8BF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Vijf psychiaters met aandachtsgebied ouderenpsychiatrie.</w:t>
            </w:r>
          </w:p>
          <w:p w14:paraId="26A49653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- Vier psychologen (3 GZ-psychologen, 1 klinisch psycholoog) </w:t>
            </w:r>
          </w:p>
          <w:p w14:paraId="1327A6F3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- Twee </w:t>
            </w:r>
            <w:proofErr w:type="spellStart"/>
            <w:r w:rsidRPr="0039464E">
              <w:rPr>
                <w:rFonts w:eastAsia="Times New Roman" w:cs="GillSansMT"/>
              </w:rPr>
              <w:t>vaktherapeuten</w:t>
            </w:r>
            <w:proofErr w:type="spellEnd"/>
            <w:r w:rsidRPr="0039464E">
              <w:rPr>
                <w:rFonts w:eastAsia="Times New Roman" w:cs="GillSansMT"/>
              </w:rPr>
              <w:t xml:space="preserve"> (creatieve- en psychomotore therapeut)</w:t>
            </w:r>
          </w:p>
          <w:p w14:paraId="733C85FA" w14:textId="0D0C9671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 xml:space="preserve">- </w:t>
            </w:r>
            <w:r w:rsidR="003601CC">
              <w:rPr>
                <w:rFonts w:eastAsia="Times New Roman" w:cs="GillSansMT"/>
              </w:rPr>
              <w:t>Een</w:t>
            </w:r>
            <w:r w:rsidRPr="0039464E">
              <w:rPr>
                <w:rFonts w:eastAsia="Times New Roman" w:cs="GillSansMT"/>
              </w:rPr>
              <w:t xml:space="preserve"> verpleegkundig specialist</w:t>
            </w:r>
          </w:p>
          <w:p w14:paraId="73ECAF85" w14:textId="4F8221DA" w:rsidR="0094431D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Twee sociaalpsychiatrisch verpleegkundigen.</w:t>
            </w:r>
          </w:p>
          <w:p w14:paraId="4E5980AF" w14:textId="001553CB" w:rsidR="003601CC" w:rsidRPr="0039464E" w:rsidRDefault="003601CC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>
              <w:rPr>
                <w:rFonts w:eastAsia="Times New Roman" w:cs="GillSansMT"/>
              </w:rPr>
              <w:t xml:space="preserve">- Een psychodiagnostisch verpleegkundige. </w:t>
            </w:r>
          </w:p>
          <w:p w14:paraId="5A166A24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</w:rPr>
            </w:pPr>
            <w:r w:rsidRPr="0039464E">
              <w:rPr>
                <w:rFonts w:eastAsia="Times New Roman" w:cs="GillSansMT"/>
              </w:rPr>
              <w:t>- AIOS psychiatrie en AIOS interne geneeskunde</w:t>
            </w:r>
          </w:p>
          <w:p w14:paraId="28F2C56A" w14:textId="77777777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  <w:lang w:val="en-US"/>
              </w:rPr>
            </w:pPr>
            <w:r w:rsidRPr="0039464E">
              <w:rPr>
                <w:rFonts w:eastAsia="Times New Roman" w:cs="GillSansMT"/>
                <w:lang w:val="en-US"/>
              </w:rPr>
              <w:t xml:space="preserve">- </w:t>
            </w:r>
            <w:proofErr w:type="spellStart"/>
            <w:r w:rsidRPr="0039464E">
              <w:rPr>
                <w:rFonts w:eastAsia="Times New Roman" w:cs="GillSansMT"/>
                <w:lang w:val="en-US"/>
              </w:rPr>
              <w:t>Administratief</w:t>
            </w:r>
            <w:proofErr w:type="spellEnd"/>
            <w:r w:rsidRPr="0039464E">
              <w:rPr>
                <w:rFonts w:eastAsia="Times New Roman" w:cs="GillSansMT"/>
                <w:lang w:val="en-US"/>
              </w:rPr>
              <w:t xml:space="preserve"> </w:t>
            </w:r>
            <w:proofErr w:type="spellStart"/>
            <w:r w:rsidRPr="0039464E">
              <w:rPr>
                <w:rFonts w:eastAsia="Times New Roman" w:cs="GillSansMT"/>
                <w:lang w:val="en-US"/>
              </w:rPr>
              <w:t>medewerkers</w:t>
            </w:r>
            <w:proofErr w:type="spellEnd"/>
            <w:r w:rsidRPr="0039464E">
              <w:rPr>
                <w:rFonts w:eastAsia="Times New Roman" w:cs="GillSansMT"/>
                <w:lang w:val="en-US"/>
              </w:rPr>
              <w:t>/</w:t>
            </w:r>
            <w:proofErr w:type="spellStart"/>
            <w:r w:rsidRPr="0039464E">
              <w:rPr>
                <w:rFonts w:eastAsia="Times New Roman" w:cs="GillSansMT"/>
                <w:lang w:val="en-US"/>
              </w:rPr>
              <w:t>secretaresses</w:t>
            </w:r>
            <w:proofErr w:type="spellEnd"/>
            <w:r w:rsidRPr="0039464E">
              <w:rPr>
                <w:rFonts w:eastAsia="Times New Roman" w:cs="GillSansMT"/>
                <w:lang w:val="en-US"/>
              </w:rPr>
              <w:t>.</w:t>
            </w:r>
          </w:p>
          <w:p w14:paraId="048C414A" w14:textId="36F426D2" w:rsidR="0094431D" w:rsidRPr="0039464E" w:rsidRDefault="0094431D" w:rsidP="0094431D">
            <w:pPr>
              <w:autoSpaceDE w:val="0"/>
              <w:autoSpaceDN w:val="0"/>
              <w:adjustRightInd w:val="0"/>
              <w:snapToGrid w:val="0"/>
              <w:rPr>
                <w:rFonts w:eastAsia="Times New Roman" w:cs="GillSansMT"/>
                <w:lang w:val="en-US"/>
              </w:rPr>
            </w:pPr>
            <w:r w:rsidRPr="0039464E">
              <w:rPr>
                <w:rFonts w:eastAsia="Times New Roman" w:cs="GillSansMT"/>
                <w:lang w:val="en-US"/>
              </w:rPr>
              <w:t xml:space="preserve">- </w:t>
            </w:r>
            <w:proofErr w:type="spellStart"/>
            <w:r w:rsidRPr="0039464E">
              <w:rPr>
                <w:rFonts w:eastAsia="Times New Roman" w:cs="GillSansMT"/>
                <w:lang w:val="en-US"/>
              </w:rPr>
              <w:t>Coassistent</w:t>
            </w:r>
            <w:proofErr w:type="spellEnd"/>
          </w:p>
        </w:tc>
      </w:tr>
      <w:tr w:rsidR="0094431D" w:rsidRPr="0039464E" w14:paraId="4E76D0F3" w14:textId="77777777" w:rsidTr="00556B5D">
        <w:tc>
          <w:tcPr>
            <w:tcW w:w="2552" w:type="dxa"/>
            <w:tcBorders>
              <w:right w:val="nil"/>
            </w:tcBorders>
          </w:tcPr>
          <w:p w14:paraId="1536645C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Faciliteiten</w:t>
            </w:r>
          </w:p>
        </w:tc>
        <w:tc>
          <w:tcPr>
            <w:tcW w:w="7088" w:type="dxa"/>
            <w:tcBorders>
              <w:left w:val="nil"/>
            </w:tcBorders>
          </w:tcPr>
          <w:p w14:paraId="62B4D5B1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Eigen werkkamer met PC (en toegang tot universiteitsbibliotheek).</w:t>
            </w:r>
          </w:p>
        </w:tc>
      </w:tr>
      <w:tr w:rsidR="0094431D" w:rsidRPr="0039464E" w14:paraId="4DE45897" w14:textId="77777777" w:rsidTr="00556B5D">
        <w:tc>
          <w:tcPr>
            <w:tcW w:w="2552" w:type="dxa"/>
            <w:tcBorders>
              <w:right w:val="nil"/>
            </w:tcBorders>
          </w:tcPr>
          <w:p w14:paraId="3F3AD876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Introductieprogramma</w:t>
            </w:r>
          </w:p>
        </w:tc>
        <w:tc>
          <w:tcPr>
            <w:tcW w:w="7088" w:type="dxa"/>
            <w:tcBorders>
              <w:left w:val="nil"/>
            </w:tcBorders>
          </w:tcPr>
          <w:p w14:paraId="4F8F0D12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Een kennismakinggesprek met alle medewerkers van de polikliniek ouderenpsychiatrie in de eerste week, inclusief de superviserend psychiater (supervisor).</w:t>
            </w:r>
          </w:p>
          <w:p w14:paraId="3DF53C16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Bijwonen van het multidisciplinaire overleg van het Universitair Centrum Ouderengeneeskunde (UCO) ter wederzijdse kennismaking.</w:t>
            </w:r>
          </w:p>
          <w:p w14:paraId="040EFBF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Voor externe kandidaten hiernaast het algemene introductieprogramma UCP/UMCG.</w:t>
            </w:r>
          </w:p>
        </w:tc>
      </w:tr>
      <w:tr w:rsidR="0094431D" w:rsidRPr="0039464E" w14:paraId="0FC60369" w14:textId="77777777" w:rsidTr="00556B5D">
        <w:tc>
          <w:tcPr>
            <w:tcW w:w="2552" w:type="dxa"/>
            <w:tcBorders>
              <w:right w:val="nil"/>
            </w:tcBorders>
          </w:tcPr>
          <w:p w14:paraId="4C27855A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>Aandachtspunten, tips voor een goed beloop</w:t>
            </w:r>
          </w:p>
        </w:tc>
        <w:tc>
          <w:tcPr>
            <w:tcW w:w="7088" w:type="dxa"/>
            <w:tcBorders>
              <w:left w:val="nil"/>
            </w:tcBorders>
          </w:tcPr>
          <w:p w14:paraId="2333A823" w14:textId="77777777" w:rsidR="0094431D" w:rsidRPr="0039464E" w:rsidRDefault="0094431D" w:rsidP="0094431D">
            <w:pPr>
              <w:snapToGrid w:val="0"/>
              <w:rPr>
                <w:rFonts w:eastAsia="Times New Roman" w:cs="Arial"/>
              </w:rPr>
            </w:pPr>
            <w:r w:rsidRPr="0039464E">
              <w:rPr>
                <w:rFonts w:eastAsia="Times New Roman" w:cs="Arial"/>
              </w:rPr>
              <w:t xml:space="preserve">De AIOS binnen het profiel ouderenpsychiatrie kunnen tevoren met </w:t>
            </w:r>
            <w:proofErr w:type="spellStart"/>
            <w:r w:rsidRPr="0039464E">
              <w:rPr>
                <w:rFonts w:eastAsia="Times New Roman" w:cs="Arial"/>
              </w:rPr>
              <w:t>prof.dr</w:t>
            </w:r>
            <w:proofErr w:type="spellEnd"/>
            <w:r w:rsidRPr="0039464E">
              <w:rPr>
                <w:rFonts w:eastAsia="Times New Roman" w:cs="Arial"/>
              </w:rPr>
              <w:t>. R.C. Oude Voshaar, opleider aandachtsgebied ouderen psychiatrie, specifieke wensen binnen de stage afstemmen.</w:t>
            </w:r>
          </w:p>
        </w:tc>
      </w:tr>
    </w:tbl>
    <w:p w14:paraId="3A7D8B91" w14:textId="77777777" w:rsidR="0094431D" w:rsidRPr="0039464E" w:rsidRDefault="0094431D" w:rsidP="0094431D">
      <w:pPr>
        <w:rPr>
          <w:color w:val="4472C4" w:themeColor="accent1"/>
        </w:rPr>
      </w:pPr>
    </w:p>
    <w:p w14:paraId="7D600AE5" w14:textId="77777777" w:rsidR="0094431D" w:rsidRPr="0039464E" w:rsidRDefault="0094431D" w:rsidP="0094431D">
      <w:pPr>
        <w:rPr>
          <w:color w:val="4472C4" w:themeColor="accent1"/>
        </w:rPr>
      </w:pPr>
    </w:p>
    <w:p w14:paraId="688EEF7F" w14:textId="77777777" w:rsidR="0094431D" w:rsidRPr="0039464E" w:rsidRDefault="0094431D" w:rsidP="0094431D">
      <w:pPr>
        <w:rPr>
          <w:color w:val="4472C4" w:themeColor="accent1"/>
        </w:rPr>
      </w:pPr>
    </w:p>
    <w:p w14:paraId="4E86C22A" w14:textId="77777777" w:rsidR="0094431D" w:rsidRPr="0039464E" w:rsidRDefault="0094431D" w:rsidP="0094431D">
      <w:pPr>
        <w:rPr>
          <w:color w:val="4472C4" w:themeColor="accent1"/>
        </w:rPr>
      </w:pPr>
    </w:p>
    <w:p w14:paraId="22D395BC" w14:textId="77777777" w:rsidR="0094431D" w:rsidRPr="0039464E" w:rsidRDefault="0094431D" w:rsidP="0094431D">
      <w:pPr>
        <w:rPr>
          <w:color w:val="4472C4" w:themeColor="accent1"/>
        </w:rPr>
      </w:pPr>
    </w:p>
    <w:p w14:paraId="0154DBF4" w14:textId="77777777" w:rsidR="00DD0535" w:rsidRDefault="00DD0535" w:rsidP="0094431D"/>
    <w:sectPr w:rsidR="00DD0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1E367" w14:textId="77777777" w:rsidR="0094431D" w:rsidRDefault="0094431D" w:rsidP="0094431D">
      <w:r>
        <w:separator/>
      </w:r>
    </w:p>
  </w:endnote>
  <w:endnote w:type="continuationSeparator" w:id="0">
    <w:p w14:paraId="765BEAA2" w14:textId="77777777" w:rsidR="0094431D" w:rsidRDefault="0094431D" w:rsidP="00944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ZGCaspariT">
    <w:altName w:val="Calibri"/>
    <w:panose1 w:val="02000503040000020003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charset w:val="00"/>
    <w:family w:val="auto"/>
    <w:pitch w:val="variable"/>
    <w:sig w:usb0="E00002FF" w:usb1="5000205A" w:usb2="00000000" w:usb3="00000000" w:csb0="000001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787E1" w14:textId="77777777" w:rsidR="0094431D" w:rsidRDefault="0094431D" w:rsidP="0094431D">
      <w:r>
        <w:separator/>
      </w:r>
    </w:p>
  </w:footnote>
  <w:footnote w:type="continuationSeparator" w:id="0">
    <w:p w14:paraId="27FDECFB" w14:textId="77777777" w:rsidR="0094431D" w:rsidRDefault="0094431D" w:rsidP="00944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17267"/>
    <w:multiLevelType w:val="hybridMultilevel"/>
    <w:tmpl w:val="E904010E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640AB9"/>
    <w:multiLevelType w:val="hybridMultilevel"/>
    <w:tmpl w:val="26982056"/>
    <w:lvl w:ilvl="0" w:tplc="0F408DA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ZGCaspariT" w:eastAsia="Times New Roman" w:hAnsi="AZGCaspari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3A94711"/>
    <w:multiLevelType w:val="hybridMultilevel"/>
    <w:tmpl w:val="45F641E2"/>
    <w:lvl w:ilvl="0" w:tplc="B4E690F8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CC7FB5"/>
    <w:multiLevelType w:val="hybridMultilevel"/>
    <w:tmpl w:val="E50208B4"/>
    <w:lvl w:ilvl="0" w:tplc="4DBC850C">
      <w:numFmt w:val="bullet"/>
      <w:lvlText w:val="-"/>
      <w:lvlJc w:val="left"/>
      <w:pPr>
        <w:ind w:left="36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19226354">
    <w:abstractNumId w:val="3"/>
  </w:num>
  <w:num w:numId="2" w16cid:durableId="1060251179">
    <w:abstractNumId w:val="1"/>
  </w:num>
  <w:num w:numId="3" w16cid:durableId="2124180028">
    <w:abstractNumId w:val="0"/>
  </w:num>
  <w:num w:numId="4" w16cid:durableId="14210205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1D"/>
    <w:rsid w:val="003601CC"/>
    <w:rsid w:val="0094431D"/>
    <w:rsid w:val="00DD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B76A95"/>
  <w15:chartTrackingRefBased/>
  <w15:docId w15:val="{97473677-9044-4769-9E3D-91E431022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4431D"/>
    <w:pPr>
      <w:spacing w:after="0" w:line="240" w:lineRule="auto"/>
    </w:pPr>
    <w:rPr>
      <w:rFonts w:ascii="AZGCaspariT" w:eastAsia="Calibri" w:hAnsi="AZGCaspariT" w:cs="Times New Roman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443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94431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9764CEEC052B43A0F9D6940645AD20" ma:contentTypeVersion="10" ma:contentTypeDescription="Een nieuw document maken." ma:contentTypeScope="" ma:versionID="d35036c6e81ea9e148cd649a49e86436">
  <xsd:schema xmlns:xsd="http://www.w3.org/2001/XMLSchema" xmlns:xs="http://www.w3.org/2001/XMLSchema" xmlns:p="http://schemas.microsoft.com/office/2006/metadata/properties" xmlns:ns2="deaad148-bcae-497b-8ebf-09ed6521b56f" xmlns:ns3="e7a1e58f-25d8-49a0-a613-529d02d23e7a" targetNamespace="http://schemas.microsoft.com/office/2006/metadata/properties" ma:root="true" ma:fieldsID="0d9ec6e37ec8fdcfbe6deb045a0566f0" ns2:_="" ns3:_="">
    <xsd:import namespace="deaad148-bcae-497b-8ebf-09ed6521b56f"/>
    <xsd:import namespace="e7a1e58f-25d8-49a0-a613-529d02d23e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ad148-bcae-497b-8ebf-09ed6521b5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135eabb5-a18a-4215-84c6-3aa8d4454c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1e58f-25d8-49a0-a613-529d02d23e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a5cadeb-41d7-4970-9aea-3a2c59719f48}" ma:internalName="TaxCatchAll" ma:showField="CatchAllData" ma:web="e7a1e58f-25d8-49a0-a613-529d02d23e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aad148-bcae-497b-8ebf-09ed6521b56f">
      <Terms xmlns="http://schemas.microsoft.com/office/infopath/2007/PartnerControls"/>
    </lcf76f155ced4ddcb4097134ff3c332f>
    <TaxCatchAll xmlns="e7a1e58f-25d8-49a0-a613-529d02d23e7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8517A-8F50-48DF-A7B1-36152609D7F9}"/>
</file>

<file path=customXml/itemProps2.xml><?xml version="1.0" encoding="utf-8"?>
<ds:datastoreItem xmlns:ds="http://schemas.openxmlformats.org/officeDocument/2006/customXml" ds:itemID="{B0D4A673-346C-47C3-83BD-44DB5E7BAFA7}">
  <ds:schemaRefs>
    <ds:schemaRef ds:uri="http://schemas.microsoft.com/office/2006/metadata/properties"/>
    <ds:schemaRef ds:uri="http://schemas.microsoft.com/office/infopath/2007/PartnerControls"/>
    <ds:schemaRef ds:uri="deaad148-bcae-497b-8ebf-09ed6521b56f"/>
    <ds:schemaRef ds:uri="e7a1e58f-25d8-49a0-a613-529d02d23e7a"/>
  </ds:schemaRefs>
</ds:datastoreItem>
</file>

<file path=customXml/itemProps3.xml><?xml version="1.0" encoding="utf-8"?>
<ds:datastoreItem xmlns:ds="http://schemas.openxmlformats.org/officeDocument/2006/customXml" ds:itemID="{1E6F09DE-7857-4C28-ACDE-54117A8479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1045</Words>
  <Characters>5753</Characters>
  <Application>Microsoft Office Word</Application>
  <DocSecurity>4</DocSecurity>
  <Lines>47</Lines>
  <Paragraphs>13</Paragraphs>
  <ScaleCrop>false</ScaleCrop>
  <Company/>
  <LinksUpToDate>false</LinksUpToDate>
  <CharactersWithSpaces>6785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Bladder, PP</dc:creator>
  <cp:keywords/>
  <dc:description/>
  <cp:lastModifiedBy>Jeuring, HW (psy)</cp:lastModifiedBy>
  <cp:revision>2</cp:revision>
  <dcterms:created xsi:type="dcterms:W3CDTF">2023-02-23T11:42:00Z</dcterms:created>
  <dcterms:modified xsi:type="dcterms:W3CDTF">2023-02-23T11:42:00Z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0x0101002A9764CEEC052B43A0F9D6940645AD20</vt:lpwstr>
  </property>
</Properties>
</file>