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91" w:rsidRPr="00B82540" w:rsidRDefault="00714691" w:rsidP="00714691">
      <w:pPr>
        <w:pStyle w:val="Kop9"/>
        <w:jc w:val="both"/>
        <w:rPr>
          <w:bCs/>
          <w:caps w:val="0"/>
          <w:smallCaps/>
          <w:szCs w:val="24"/>
        </w:rPr>
      </w:pPr>
      <w:r w:rsidRPr="00B82540">
        <w:rPr>
          <w:bCs/>
          <w:caps w:val="0"/>
          <w:smallCaps/>
          <w:szCs w:val="24"/>
        </w:rPr>
        <w:t>Longfunctiestage inclusief stage allergologie en longrevalidatie</w:t>
      </w:r>
    </w:p>
    <w:p w:rsidR="00714691" w:rsidRPr="00B82540" w:rsidRDefault="00714691" w:rsidP="00714691">
      <w:pPr>
        <w:jc w:val="both"/>
      </w:pPr>
    </w:p>
    <w:p w:rsidR="00714691" w:rsidRPr="00B82540" w:rsidRDefault="00714691" w:rsidP="00714691">
      <w:pPr>
        <w:jc w:val="both"/>
        <w:rPr>
          <w:b/>
        </w:rPr>
      </w:pPr>
      <w:r w:rsidRPr="00B82540">
        <w:rPr>
          <w:b/>
        </w:rPr>
        <w:t>Longfunctie:</w:t>
      </w:r>
    </w:p>
    <w:p w:rsidR="00714691" w:rsidRPr="00B82540" w:rsidRDefault="00714691" w:rsidP="00714691">
      <w:pPr>
        <w:jc w:val="both"/>
      </w:pPr>
      <w:r w:rsidRPr="00B82540">
        <w:t xml:space="preserve">Plaats: </w:t>
      </w:r>
      <w:r w:rsidRPr="00B82540">
        <w:tab/>
      </w:r>
      <w:r w:rsidRPr="00B82540">
        <w:tab/>
      </w:r>
      <w:r w:rsidRPr="00B82540">
        <w:rPr>
          <w:b/>
          <w:bCs/>
        </w:rPr>
        <w:t>Sint Franciscus Gasthuis</w:t>
      </w:r>
      <w:r w:rsidRPr="00B82540">
        <w:t xml:space="preserve">, Rotterdam </w:t>
      </w:r>
    </w:p>
    <w:p w:rsidR="00714691" w:rsidRPr="00B82540" w:rsidRDefault="00714691" w:rsidP="00714691">
      <w:pPr>
        <w:jc w:val="both"/>
      </w:pPr>
      <w:r w:rsidRPr="00B82540">
        <w:t xml:space="preserve">Duur: </w:t>
      </w:r>
      <w:r w:rsidRPr="00B82540">
        <w:tab/>
      </w:r>
      <w:r w:rsidRPr="00B82540">
        <w:tab/>
        <w:t xml:space="preserve">4-12 maanden </w:t>
      </w:r>
    </w:p>
    <w:p w:rsidR="00714691" w:rsidRPr="007A29E4" w:rsidRDefault="00714691" w:rsidP="00714691">
      <w:pPr>
        <w:pStyle w:val="Plattetekstinspringen"/>
        <w:ind w:left="0"/>
        <w:jc w:val="both"/>
      </w:pPr>
      <w:proofErr w:type="spellStart"/>
      <w:r w:rsidRPr="001E7371">
        <w:rPr>
          <w:lang w:val="de-DE"/>
        </w:rPr>
        <w:t>Begeleiders</w:t>
      </w:r>
      <w:proofErr w:type="spellEnd"/>
      <w:r w:rsidRPr="001E7371">
        <w:rPr>
          <w:lang w:val="de-DE"/>
        </w:rPr>
        <w:t xml:space="preserve">: </w:t>
      </w:r>
      <w:r w:rsidRPr="001E7371">
        <w:rPr>
          <w:lang w:val="de-DE"/>
        </w:rPr>
        <w:tab/>
      </w:r>
      <w:proofErr w:type="spellStart"/>
      <w:r w:rsidRPr="001E7371">
        <w:rPr>
          <w:lang w:val="de-DE"/>
        </w:rPr>
        <w:t>dr.</w:t>
      </w:r>
      <w:proofErr w:type="spellEnd"/>
      <w:r w:rsidRPr="001E7371">
        <w:rPr>
          <w:lang w:val="de-DE"/>
        </w:rPr>
        <w:t xml:space="preserve"> G.J. Braunstahl, dr. </w:t>
      </w:r>
      <w:r w:rsidRPr="007A29E4">
        <w:t>A. Rudolphus</w:t>
      </w:r>
    </w:p>
    <w:p w:rsidR="00714691" w:rsidRDefault="00714691" w:rsidP="00714691">
      <w:pPr>
        <w:jc w:val="both"/>
        <w:rPr>
          <w:b/>
        </w:rPr>
      </w:pPr>
    </w:p>
    <w:p w:rsidR="00714691" w:rsidRDefault="00714691" w:rsidP="00714691">
      <w:pPr>
        <w:jc w:val="both"/>
        <w:rPr>
          <w:u w:val="single"/>
        </w:rPr>
      </w:pPr>
      <w:r w:rsidRPr="00375C84">
        <w:rPr>
          <w:u w:val="single"/>
        </w:rPr>
        <w:t>LITERATUUR</w:t>
      </w:r>
    </w:p>
    <w:p w:rsidR="00714691" w:rsidRPr="00375C84" w:rsidRDefault="00714691" w:rsidP="00714691">
      <w:pPr>
        <w:numPr>
          <w:ilvl w:val="0"/>
          <w:numId w:val="4"/>
        </w:numPr>
        <w:jc w:val="both"/>
        <w:rPr>
          <w:u w:val="single"/>
        </w:rPr>
      </w:pPr>
      <w:proofErr w:type="spellStart"/>
      <w:r>
        <w:t>Allergic</w:t>
      </w:r>
      <w:proofErr w:type="spellEnd"/>
      <w:r>
        <w:t xml:space="preserve"> Rhinitis Lancet 2011.pdf</w:t>
      </w:r>
    </w:p>
    <w:p w:rsidR="00714691" w:rsidRPr="00375C84" w:rsidRDefault="00714691" w:rsidP="00714691">
      <w:pPr>
        <w:numPr>
          <w:ilvl w:val="0"/>
          <w:numId w:val="4"/>
        </w:numPr>
        <w:jc w:val="both"/>
        <w:rPr>
          <w:u w:val="single"/>
        </w:rPr>
      </w:pPr>
      <w:r>
        <w:t>CordeiroAAP2011.pdf</w:t>
      </w:r>
    </w:p>
    <w:p w:rsidR="00714691" w:rsidRPr="00375C84" w:rsidRDefault="00714691" w:rsidP="00714691">
      <w:pPr>
        <w:numPr>
          <w:ilvl w:val="0"/>
          <w:numId w:val="4"/>
        </w:numPr>
        <w:jc w:val="both"/>
        <w:rPr>
          <w:u w:val="single"/>
        </w:rPr>
      </w:pPr>
      <w:r>
        <w:t xml:space="preserve">ERSATS statement </w:t>
      </w:r>
      <w:proofErr w:type="spellStart"/>
      <w:r>
        <w:t>PulmRehab</w:t>
      </w:r>
      <w:proofErr w:type="spellEnd"/>
      <w:r>
        <w:t xml:space="preserve"> 2015.pdf</w:t>
      </w:r>
    </w:p>
    <w:p w:rsidR="00714691" w:rsidRPr="00375C84" w:rsidRDefault="00714691" w:rsidP="00714691">
      <w:pPr>
        <w:numPr>
          <w:ilvl w:val="0"/>
          <w:numId w:val="4"/>
        </w:numPr>
        <w:jc w:val="both"/>
        <w:rPr>
          <w:u w:val="single"/>
        </w:rPr>
      </w:pPr>
      <w:r>
        <w:t xml:space="preserve">ARIA </w:t>
      </w:r>
      <w:proofErr w:type="spellStart"/>
      <w:r>
        <w:t>revision</w:t>
      </w:r>
      <w:proofErr w:type="spellEnd"/>
      <w:r>
        <w:t xml:space="preserve"> JACI 2010.pdf</w:t>
      </w:r>
    </w:p>
    <w:p w:rsidR="00714691" w:rsidRPr="007A29E4" w:rsidRDefault="00714691" w:rsidP="00714691">
      <w:pPr>
        <w:jc w:val="both"/>
        <w:rPr>
          <w:b/>
        </w:rPr>
      </w:pPr>
    </w:p>
    <w:p w:rsidR="00714691" w:rsidRPr="00B82540" w:rsidRDefault="00714691" w:rsidP="00714691">
      <w:pPr>
        <w:pStyle w:val="Plattetekst"/>
        <w:jc w:val="both"/>
        <w:rPr>
          <w:smallCaps/>
          <w:szCs w:val="24"/>
          <w:u w:val="single"/>
        </w:rPr>
      </w:pPr>
      <w:r w:rsidRPr="00B82540">
        <w:rPr>
          <w:smallCaps/>
          <w:szCs w:val="24"/>
          <w:u w:val="single"/>
        </w:rPr>
        <w:t>Leerdoelen</w:t>
      </w:r>
    </w:p>
    <w:p w:rsidR="00714691" w:rsidRPr="00B82540" w:rsidRDefault="00714691" w:rsidP="00714691">
      <w:pPr>
        <w:jc w:val="both"/>
        <w:rPr>
          <w:b/>
        </w:rPr>
      </w:pPr>
      <w:r w:rsidRPr="00B82540">
        <w:rPr>
          <w:i/>
        </w:rPr>
        <w:t>Algemene leerdoelen</w:t>
      </w:r>
      <w:r w:rsidRPr="00B82540">
        <w:t xml:space="preserve"> </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heeft voldoende competentie in de indicatie stelling, uitvoering en interpretatie van het longfunctieonderzoek en het doen van metingen.</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heeft voldoende competentie in de indicatie stelling, uit</w:t>
      </w:r>
      <w:r>
        <w:t>voering en interpretatie van de</w:t>
      </w:r>
      <w:r w:rsidRPr="00B82540">
        <w:t xml:space="preserve"> longrevalidatie en het doen van bijbehorende metingen.</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heeft voldoende competentie in de indicatie stelling, uitvoering en interpretatie van het allergologisch onderzoek en immunotherapie.</w:t>
      </w:r>
    </w:p>
    <w:p w:rsidR="00714691" w:rsidRPr="00B82540" w:rsidRDefault="00714691" w:rsidP="00714691">
      <w:pPr>
        <w:widowControl w:val="0"/>
        <w:autoSpaceDE w:val="0"/>
        <w:autoSpaceDN w:val="0"/>
        <w:adjustRightInd w:val="0"/>
        <w:jc w:val="both"/>
      </w:pPr>
    </w:p>
    <w:p w:rsidR="00714691" w:rsidRPr="00B82540" w:rsidRDefault="00714691" w:rsidP="00714691">
      <w:pPr>
        <w:tabs>
          <w:tab w:val="left" w:pos="459"/>
          <w:tab w:val="left" w:pos="687"/>
          <w:tab w:val="left" w:pos="2667"/>
          <w:tab w:val="left" w:pos="2859"/>
        </w:tabs>
        <w:jc w:val="both"/>
        <w:rPr>
          <w:i/>
          <w:iCs/>
        </w:rPr>
      </w:pPr>
    </w:p>
    <w:p w:rsidR="00714691" w:rsidRDefault="00714691" w:rsidP="00714691">
      <w:pPr>
        <w:widowControl w:val="0"/>
        <w:autoSpaceDE w:val="0"/>
        <w:autoSpaceDN w:val="0"/>
        <w:adjustRightInd w:val="0"/>
        <w:jc w:val="both"/>
        <w:rPr>
          <w:i/>
          <w:iCs/>
        </w:rPr>
      </w:pPr>
      <w:r w:rsidRPr="00B82540">
        <w:rPr>
          <w:i/>
          <w:iCs/>
        </w:rPr>
        <w:t>Specifieke leerdoelen</w:t>
      </w:r>
    </w:p>
    <w:p w:rsidR="00714691" w:rsidRPr="00B82540" w:rsidRDefault="00714691" w:rsidP="00714691">
      <w:pPr>
        <w:widowControl w:val="0"/>
        <w:autoSpaceDE w:val="0"/>
        <w:autoSpaceDN w:val="0"/>
        <w:adjustRightInd w:val="0"/>
        <w:jc w:val="both"/>
      </w:pPr>
      <w:r>
        <w:rPr>
          <w:iCs/>
        </w:rPr>
        <w:t>D</w:t>
      </w:r>
      <w:r w:rsidRPr="00B82540">
        <w:rPr>
          <w:iCs/>
        </w:rPr>
        <w:t xml:space="preserve">e </w:t>
      </w:r>
      <w:r>
        <w:rPr>
          <w:iCs/>
        </w:rPr>
        <w:t>AIOS</w:t>
      </w:r>
      <w:r w:rsidRPr="00B82540">
        <w:rPr>
          <w:iCs/>
        </w:rPr>
        <w:t xml:space="preserve"> voert op adequate wijze l</w:t>
      </w:r>
      <w:r w:rsidRPr="00B82540">
        <w:t xml:space="preserve">ongfunctie onderzoek uit om de respiratoire volumes, mechanica en gasuitwisseling vast te kunnen stellen inclusief spirometrie, flow-volume onderzoek, longvolumes (inclusief body plethysmografie), transfer factor (diffusiecapaciteit), ventilatie/perfusie verhoudingen/verdeling, luchtwegweerstand, ademmechanica, shuntmeting, inspiratoire en expiratoire monddrukmeting, arterieel bloedgasonderzoek en inspanningsonderzoek. Dit geldt ook voor metingen ter bepaling van de bronchiale hyperreactiviteit, huidtesten, en immunologisch onderzoek voornamelijk in relatie tot respiratoire allergie. </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zal ergometrieën begeleiden, aanvankelijk onder supervisie en later zelfstandig. De </w:t>
      </w:r>
      <w:r>
        <w:t>AIOS</w:t>
      </w:r>
      <w:r w:rsidRPr="00B82540">
        <w:t xml:space="preserve"> leert de testresultaten te interpreteren en weer te geven in een standaard verslagformulier. </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neemt deel aan het wekelijks MDO longrevalidatie en zit dit MDO ook regelmatig voor.</w:t>
      </w:r>
    </w:p>
    <w:p w:rsidR="00714691" w:rsidRPr="00B82540" w:rsidRDefault="00714691" w:rsidP="00714691">
      <w:pPr>
        <w:widowControl w:val="0"/>
        <w:autoSpaceDE w:val="0"/>
        <w:autoSpaceDN w:val="0"/>
        <w:adjustRightInd w:val="0"/>
        <w:jc w:val="both"/>
      </w:pPr>
      <w:r w:rsidRPr="00B82540">
        <w:t xml:space="preserve">De </w:t>
      </w:r>
      <w:r>
        <w:t>AIOS</w:t>
      </w:r>
      <w:r w:rsidRPr="00B82540">
        <w:t xml:space="preserve"> heeft kennis van allergologie en immunotherapie. </w:t>
      </w:r>
      <w:r>
        <w:t xml:space="preserve">De AIOS ziet nieuwe patiënten op de Allergologiepoli en leert de finesses van de diagnostische work-up en indicaties stellen voor immunotherapie en Omalizumab behandeling. </w:t>
      </w:r>
      <w:r w:rsidRPr="00B82540">
        <w:t xml:space="preserve">Voorts verdiept de </w:t>
      </w:r>
      <w:r>
        <w:t>AIOS</w:t>
      </w:r>
      <w:r w:rsidRPr="00B82540">
        <w:t xml:space="preserve"> zich in inhalatietechniek, samenwerking met de longverpleegkundige en het opzetten en begeleiden van trialwerkzaamheden. </w:t>
      </w:r>
    </w:p>
    <w:p w:rsidR="00714691" w:rsidRDefault="00714691" w:rsidP="00714691">
      <w:pPr>
        <w:jc w:val="both"/>
        <w:rPr>
          <w:smallCaps/>
          <w:u w:val="single"/>
        </w:rPr>
      </w:pPr>
    </w:p>
    <w:p w:rsidR="00714691" w:rsidRPr="00A309DB" w:rsidRDefault="00714691" w:rsidP="00714691">
      <w:pPr>
        <w:autoSpaceDE w:val="0"/>
        <w:autoSpaceDN w:val="0"/>
        <w:adjustRightInd w:val="0"/>
        <w:jc w:val="both"/>
        <w:rPr>
          <w:i/>
        </w:rPr>
      </w:pPr>
      <w:r w:rsidRPr="00A309DB">
        <w:rPr>
          <w:i/>
        </w:rPr>
        <w:t xml:space="preserve">Te verkrijgen </w:t>
      </w:r>
      <w:r>
        <w:rPr>
          <w:i/>
        </w:rPr>
        <w:t>vaardigheden</w:t>
      </w:r>
      <w:r w:rsidRPr="00A309DB">
        <w:rPr>
          <w:i/>
        </w:rPr>
        <w:t xml:space="preserve"> (voor niveau</w:t>
      </w:r>
      <w:r>
        <w:rPr>
          <w:i/>
        </w:rPr>
        <w:t>,</w:t>
      </w:r>
      <w:r w:rsidRPr="00A309DB">
        <w:rPr>
          <w:i/>
        </w:rPr>
        <w:t xml:space="preserve"> zie deel B) </w:t>
      </w:r>
    </w:p>
    <w:p w:rsidR="00714691" w:rsidRDefault="00714691" w:rsidP="00714691">
      <w:pPr>
        <w:jc w:val="both"/>
        <w:rPr>
          <w:bCs/>
        </w:rPr>
      </w:pPr>
      <w:r>
        <w:rPr>
          <w:bCs/>
        </w:rPr>
        <w:t>Ergometrie (</w:t>
      </w:r>
      <w:proofErr w:type="spellStart"/>
      <w:r>
        <w:rPr>
          <w:bCs/>
        </w:rPr>
        <w:t>incl</w:t>
      </w:r>
      <w:proofErr w:type="spellEnd"/>
      <w:r>
        <w:rPr>
          <w:bCs/>
        </w:rPr>
        <w:t xml:space="preserve"> arterielijn)</w:t>
      </w:r>
    </w:p>
    <w:p w:rsidR="00714691" w:rsidRDefault="00714691" w:rsidP="00714691">
      <w:pPr>
        <w:jc w:val="both"/>
        <w:rPr>
          <w:bCs/>
        </w:rPr>
      </w:pPr>
      <w:r>
        <w:rPr>
          <w:bCs/>
        </w:rPr>
        <w:t>Immunotherapie</w:t>
      </w:r>
    </w:p>
    <w:p w:rsidR="00714691" w:rsidRPr="00B82540" w:rsidRDefault="00714691" w:rsidP="00714691">
      <w:pPr>
        <w:jc w:val="both"/>
        <w:rPr>
          <w:smallCaps/>
          <w:u w:val="single"/>
        </w:rPr>
      </w:pPr>
      <w:bookmarkStart w:id="0" w:name="_GoBack"/>
      <w:bookmarkEnd w:id="0"/>
    </w:p>
    <w:p w:rsidR="00714691" w:rsidRPr="00B82540" w:rsidRDefault="00714691" w:rsidP="00714691">
      <w:pPr>
        <w:jc w:val="both"/>
      </w:pPr>
      <w:r w:rsidRPr="00B82540">
        <w:rPr>
          <w:smallCaps/>
          <w:u w:val="single"/>
        </w:rPr>
        <w:t>Leermiddelen</w:t>
      </w:r>
      <w:r w:rsidRPr="00B82540">
        <w:t xml:space="preserve"> </w:t>
      </w:r>
    </w:p>
    <w:p w:rsidR="00714691" w:rsidRPr="00B82540" w:rsidRDefault="00714691" w:rsidP="00714691">
      <w:pPr>
        <w:jc w:val="both"/>
      </w:pPr>
      <w:r w:rsidRPr="00B82540">
        <w:t>Longfunctieafdeling met de daarbij horende onderzoeken en faciliteiten. Beoordelen spirometrieën en fiets-ergometrieën. Kennis hebben van de kwaliteitseisen voor een longfunctielaboratorium. Daarnaast actief deelnemen aan de multidisciplinaire revalidatiebespreking. Begeleiding longfunctieassistenten in opleiding. Meelopen poli afweerstoornissen en immunologie.</w:t>
      </w:r>
      <w:r>
        <w:t xml:space="preserve"> Participeren in cyclus longfunctie-onderwijs</w:t>
      </w:r>
    </w:p>
    <w:p w:rsidR="00714691" w:rsidRPr="00B82540" w:rsidRDefault="00714691" w:rsidP="00714691">
      <w:pPr>
        <w:tabs>
          <w:tab w:val="left" w:pos="459"/>
          <w:tab w:val="left" w:pos="687"/>
          <w:tab w:val="left" w:pos="2667"/>
          <w:tab w:val="left" w:pos="2859"/>
        </w:tabs>
        <w:jc w:val="both"/>
      </w:pPr>
    </w:p>
    <w:p w:rsidR="00714691" w:rsidRPr="00B82540" w:rsidRDefault="00714691" w:rsidP="00714691">
      <w:pPr>
        <w:jc w:val="both"/>
        <w:rPr>
          <w:u w:val="single"/>
        </w:rPr>
      </w:pPr>
      <w:r w:rsidRPr="00B82540">
        <w:rPr>
          <w:smallCaps/>
          <w:u w:val="single"/>
        </w:rPr>
        <w:t>Toetsen</w:t>
      </w:r>
    </w:p>
    <w:p w:rsidR="00714691" w:rsidRPr="00B82540" w:rsidRDefault="00714691" w:rsidP="00714691">
      <w:pPr>
        <w:numPr>
          <w:ilvl w:val="0"/>
          <w:numId w:val="3"/>
        </w:numPr>
        <w:jc w:val="both"/>
        <w:rPr>
          <w:b/>
        </w:rPr>
      </w:pPr>
      <w:r w:rsidRPr="00B82540">
        <w:t xml:space="preserve">OSATS </w:t>
      </w:r>
    </w:p>
    <w:p w:rsidR="00714691" w:rsidRPr="00B82540" w:rsidRDefault="00714691" w:rsidP="00714691">
      <w:pPr>
        <w:numPr>
          <w:ilvl w:val="0"/>
          <w:numId w:val="3"/>
        </w:numPr>
        <w:jc w:val="both"/>
        <w:rPr>
          <w:b/>
        </w:rPr>
      </w:pPr>
      <w:r w:rsidRPr="00B82540">
        <w:t>KPB’s</w:t>
      </w:r>
    </w:p>
    <w:p w:rsidR="00714691" w:rsidRPr="00B82540" w:rsidRDefault="00714691" w:rsidP="00714691">
      <w:pPr>
        <w:jc w:val="both"/>
      </w:pPr>
    </w:p>
    <w:p w:rsidR="00714691" w:rsidRPr="00B82540" w:rsidRDefault="00714691" w:rsidP="00714691">
      <w:pPr>
        <w:jc w:val="both"/>
        <w:rPr>
          <w:smallCaps/>
          <w:u w:val="single"/>
        </w:rPr>
      </w:pPr>
      <w:r>
        <w:rPr>
          <w:smallCaps/>
          <w:u w:val="single"/>
        </w:rPr>
        <w:t xml:space="preserve">Begeleiding en beoordeling </w:t>
      </w:r>
    </w:p>
    <w:p w:rsidR="00714691" w:rsidRPr="00B82540" w:rsidRDefault="00714691" w:rsidP="00714691">
      <w:pPr>
        <w:jc w:val="both"/>
      </w:pPr>
      <w:r w:rsidRPr="00B82540">
        <w:t xml:space="preserve">Aan het begin van de stage worden met de superviserend longarts de leerdoelen van de stage </w:t>
      </w:r>
    </w:p>
    <w:p w:rsidR="00714691" w:rsidRPr="00B82540" w:rsidRDefault="00714691" w:rsidP="00714691">
      <w:pPr>
        <w:jc w:val="both"/>
      </w:pPr>
      <w:r w:rsidRPr="00B82540">
        <w:t xml:space="preserve">doorgesproken. Halverwege en aan het eind van de stage vindt beoordeling plaats door de </w:t>
      </w:r>
    </w:p>
    <w:p w:rsidR="00714691" w:rsidRPr="00B82540" w:rsidRDefault="00714691" w:rsidP="00714691">
      <w:pPr>
        <w:pStyle w:val="Geenafstand1"/>
        <w:jc w:val="both"/>
        <w:rPr>
          <w:rFonts w:ascii="Times New Roman" w:hAnsi="Times New Roman"/>
          <w:sz w:val="24"/>
          <w:szCs w:val="24"/>
          <w:lang w:eastAsia="nl-NL"/>
        </w:rPr>
      </w:pPr>
      <w:r w:rsidRPr="00B82540">
        <w:rPr>
          <w:rFonts w:ascii="Times New Roman" w:hAnsi="Times New Roman"/>
          <w:sz w:val="24"/>
          <w:szCs w:val="24"/>
          <w:lang w:eastAsia="nl-NL"/>
        </w:rPr>
        <w:t xml:space="preserve">superviserend longarts, samen met de opleider. Hierbij worden ook de KPB’s in de beoordeling betrokken. De supervisie vindt, naast de diverse besprekingen, dagelijks plaats. </w:t>
      </w:r>
    </w:p>
    <w:p w:rsidR="00714691" w:rsidRPr="00B82540" w:rsidRDefault="00714691" w:rsidP="00714691">
      <w:pPr>
        <w:pStyle w:val="Kop2"/>
        <w:jc w:val="both"/>
        <w:rPr>
          <w:rFonts w:ascii="Times New Roman" w:hAnsi="Times New Roman" w:cs="Times New Roman"/>
          <w:smallCaps/>
          <w:sz w:val="24"/>
          <w:szCs w:val="24"/>
          <w:lang w:eastAsia="nl-NL"/>
        </w:rPr>
      </w:pPr>
      <w:r w:rsidRPr="00B82540">
        <w:rPr>
          <w:rFonts w:ascii="Times New Roman" w:hAnsi="Times New Roman" w:cs="Times New Roman"/>
          <w:b w:val="0"/>
          <w:bCs w:val="0"/>
          <w:i w:val="0"/>
          <w:iCs w:val="0"/>
          <w:smallCaps/>
          <w:sz w:val="24"/>
          <w:szCs w:val="24"/>
          <w:u w:val="single"/>
          <w:lang w:eastAsia="nl-NL"/>
        </w:rPr>
        <w:t>werkindeling</w:t>
      </w:r>
    </w:p>
    <w:p w:rsidR="00714691" w:rsidRPr="00B82540" w:rsidRDefault="00714691" w:rsidP="00714691">
      <w:pPr>
        <w:jc w:val="both"/>
      </w:pPr>
      <w:r w:rsidRPr="00B82540">
        <w:t xml:space="preserve">De </w:t>
      </w:r>
      <w:r>
        <w:t>AIOS</w:t>
      </w:r>
      <w:r w:rsidRPr="00B82540">
        <w:t xml:space="preserve"> is werkzaam op de longfunctieafdeling en de polikliniek/kliniek. Hij/zij verricht zelfstandig onderzoeken, beoordeelt alle longfuncties die niet aangevraagd zijn door de longartsen c.q. arts-assistenten Longziekten. De </w:t>
      </w:r>
      <w:r>
        <w:t>AIOS</w:t>
      </w:r>
      <w:r w:rsidRPr="00B82540">
        <w:t xml:space="preserve"> is de eerst aangewezene voor het beantwoorden van voor vragen vanuit de longfunctie.</w:t>
      </w:r>
    </w:p>
    <w:p w:rsidR="00714691" w:rsidRDefault="00714691" w:rsidP="00714691">
      <w:pPr>
        <w:jc w:val="both"/>
      </w:pPr>
      <w:r w:rsidRPr="00B82540">
        <w:t xml:space="preserve">De </w:t>
      </w:r>
      <w:r>
        <w:t>AIOS</w:t>
      </w:r>
      <w:r w:rsidRPr="00B82540">
        <w:t xml:space="preserve"> is aanwezig bij alle ergometrieën en beoordeelt deze eerst met supervisor en later zelfstandig.</w:t>
      </w:r>
    </w:p>
    <w:p w:rsidR="00714691" w:rsidRPr="00B82540" w:rsidRDefault="00714691" w:rsidP="00714691">
      <w:pPr>
        <w:pStyle w:val="Kop2"/>
        <w:jc w:val="both"/>
        <w:rPr>
          <w:rFonts w:ascii="Times New Roman" w:hAnsi="Times New Roman" w:cs="Times New Roman"/>
          <w:smallCaps/>
          <w:sz w:val="24"/>
          <w:szCs w:val="24"/>
          <w:lang w:eastAsia="nl-NL"/>
        </w:rPr>
      </w:pPr>
      <w:r>
        <w:rPr>
          <w:rFonts w:ascii="Times New Roman" w:hAnsi="Times New Roman" w:cs="Times New Roman"/>
          <w:b w:val="0"/>
          <w:bCs w:val="0"/>
          <w:i w:val="0"/>
          <w:iCs w:val="0"/>
          <w:smallCaps/>
          <w:sz w:val="24"/>
          <w:szCs w:val="24"/>
          <w:u w:val="single"/>
          <w:lang w:eastAsia="nl-NL"/>
        </w:rPr>
        <w:t>toekomst</w:t>
      </w:r>
      <w:r w:rsidRPr="00B82540">
        <w:rPr>
          <w:rFonts w:ascii="Times New Roman" w:hAnsi="Times New Roman" w:cs="Times New Roman"/>
          <w:smallCaps/>
          <w:sz w:val="24"/>
          <w:szCs w:val="24"/>
          <w:lang w:eastAsia="nl-NL"/>
        </w:rPr>
        <w:t xml:space="preserve"> </w:t>
      </w:r>
    </w:p>
    <w:p w:rsidR="00714691" w:rsidRPr="007E6DDD" w:rsidRDefault="00714691" w:rsidP="00714691">
      <w:pPr>
        <w:jc w:val="both"/>
      </w:pPr>
      <w:r>
        <w:t xml:space="preserve">In </w:t>
      </w:r>
      <w:r w:rsidR="003645E3">
        <w:t>januari 2016</w:t>
      </w:r>
      <w:r>
        <w:t xml:space="preserve"> mondt de samenwerking met het Revalidatie Centrum Breda uit in de start van een longrevalidatieprogramma van Revant binnen het SF</w:t>
      </w:r>
      <w:r w:rsidR="003645E3">
        <w:t>V</w:t>
      </w:r>
      <w:r>
        <w:t xml:space="preserve">G. Dit programma wordt </w:t>
      </w:r>
      <w:r w:rsidR="003645E3">
        <w:t xml:space="preserve">gezamenlijk </w:t>
      </w:r>
      <w:r>
        <w:t xml:space="preserve">uitgevoerd door </w:t>
      </w:r>
      <w:r w:rsidR="003645E3">
        <w:t xml:space="preserve">multidisciplinaire revalidatieteams van </w:t>
      </w:r>
      <w:r>
        <w:t xml:space="preserve">het SFG </w:t>
      </w:r>
      <w:r w:rsidR="003645E3">
        <w:t xml:space="preserve">en  </w:t>
      </w:r>
      <w:proofErr w:type="spellStart"/>
      <w:r>
        <w:t>Revant</w:t>
      </w:r>
      <w:proofErr w:type="spellEnd"/>
      <w:r>
        <w:t xml:space="preserve">. </w:t>
      </w:r>
      <w:proofErr w:type="spellStart"/>
      <w:r>
        <w:t>Revant</w:t>
      </w:r>
      <w:proofErr w:type="spellEnd"/>
      <w:r>
        <w:t xml:space="preserve"> heeft een erkenning voor de stage longrevalidatie. Het is planbaar dat AIOS ook aan deze stage zullen gaan deelnemen die dan gedeeltelijk in Breda gaat plaatsvinden (assessments) en deels in het SFG (longrevalidatie zelf). Dit moet nog verder uitgewerkt worden.  </w:t>
      </w:r>
    </w:p>
    <w:p w:rsidR="00714691" w:rsidRPr="00B82540" w:rsidRDefault="00714691" w:rsidP="00714691">
      <w:pPr>
        <w:pStyle w:val="Plattetekst2"/>
        <w:jc w:val="both"/>
        <w:rPr>
          <w:b w:val="0"/>
          <w:bCs w:val="0"/>
          <w:lang w:eastAsia="en-US"/>
        </w:rPr>
        <w:sectPr w:rsidR="00714691" w:rsidRPr="00B82540" w:rsidSect="00DA17F4">
          <w:pgSz w:w="12242" w:h="15842" w:code="1"/>
          <w:pgMar w:top="1440" w:right="1469" w:bottom="1440" w:left="1797" w:header="709" w:footer="709" w:gutter="0"/>
          <w:cols w:space="708"/>
          <w:docGrid w:linePitch="360"/>
        </w:sectPr>
      </w:pPr>
    </w:p>
    <w:p w:rsidR="00714691" w:rsidRPr="00B82540" w:rsidRDefault="00714691" w:rsidP="00714691">
      <w:pPr>
        <w:pStyle w:val="Plattetekst2"/>
        <w:jc w:val="both"/>
        <w:rPr>
          <w:b w:val="0"/>
          <w:bCs w:val="0"/>
          <w:lang w:eastAsia="en-US"/>
        </w:rPr>
      </w:pPr>
      <w:r w:rsidRPr="00B82540">
        <w:rPr>
          <w:b w:val="0"/>
          <w:bCs w:val="0"/>
          <w:lang w:eastAsia="en-US"/>
        </w:rPr>
        <w:lastRenderedPageBreak/>
        <w:t xml:space="preserve">Overzicht leerdoelen en specifieke opleidingsactiviteiten longfunctiestage </w:t>
      </w:r>
    </w:p>
    <w:p w:rsidR="00714691" w:rsidRPr="00B82540" w:rsidRDefault="00714691" w:rsidP="00714691">
      <w:pPr>
        <w:pStyle w:val="Plattetekst2"/>
        <w:jc w:val="both"/>
        <w:rPr>
          <w:b w:val="0"/>
          <w:bCs w:val="0"/>
          <w:lang w:eastAsia="en-US"/>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8609"/>
        <w:gridCol w:w="2551"/>
        <w:gridCol w:w="2268"/>
      </w:tblGrid>
      <w:tr w:rsidR="00714691" w:rsidRPr="00B82540" w:rsidTr="007710C0">
        <w:tc>
          <w:tcPr>
            <w:tcW w:w="13892" w:type="dxa"/>
            <w:gridSpan w:val="4"/>
            <w:shd w:val="clear" w:color="auto" w:fill="00FFFF"/>
          </w:tcPr>
          <w:p w:rsidR="00714691" w:rsidRPr="00B82540" w:rsidRDefault="00714691" w:rsidP="007710C0">
            <w:pPr>
              <w:tabs>
                <w:tab w:val="left" w:pos="13501"/>
              </w:tabs>
              <w:ind w:left="-250" w:right="742"/>
              <w:jc w:val="both"/>
              <w:rPr>
                <w:b/>
              </w:rPr>
            </w:pPr>
          </w:p>
          <w:p w:rsidR="00714691" w:rsidRPr="00B82540" w:rsidRDefault="00714691" w:rsidP="007710C0">
            <w:pPr>
              <w:ind w:right="742"/>
              <w:jc w:val="both"/>
            </w:pPr>
            <w:r w:rsidRPr="00B82540">
              <w:rPr>
                <w:b/>
              </w:rPr>
              <w:t>Longfunctie stage</w:t>
            </w:r>
          </w:p>
        </w:tc>
      </w:tr>
      <w:tr w:rsidR="00714691" w:rsidRPr="00B82540" w:rsidTr="007710C0">
        <w:tc>
          <w:tcPr>
            <w:tcW w:w="464" w:type="dxa"/>
            <w:shd w:val="clear" w:color="auto" w:fill="00FFFF"/>
          </w:tcPr>
          <w:p w:rsidR="00714691" w:rsidRPr="00B82540" w:rsidRDefault="00714691" w:rsidP="007710C0">
            <w:pPr>
              <w:jc w:val="both"/>
              <w:rPr>
                <w:b/>
              </w:rPr>
            </w:pPr>
          </w:p>
        </w:tc>
        <w:tc>
          <w:tcPr>
            <w:tcW w:w="8609" w:type="dxa"/>
          </w:tcPr>
          <w:p w:rsidR="00714691" w:rsidRPr="00B82540" w:rsidRDefault="00714691" w:rsidP="007710C0">
            <w:pPr>
              <w:jc w:val="both"/>
              <w:rPr>
                <w:b/>
              </w:rPr>
            </w:pPr>
            <w:r w:rsidRPr="00B82540">
              <w:rPr>
                <w:b/>
              </w:rPr>
              <w:t>Leerdoelen</w:t>
            </w:r>
          </w:p>
        </w:tc>
        <w:tc>
          <w:tcPr>
            <w:tcW w:w="2551" w:type="dxa"/>
          </w:tcPr>
          <w:p w:rsidR="00714691" w:rsidRPr="00B82540" w:rsidRDefault="00714691" w:rsidP="007710C0">
            <w:pPr>
              <w:jc w:val="both"/>
              <w:rPr>
                <w:b/>
              </w:rPr>
            </w:pPr>
            <w:r w:rsidRPr="00B82540">
              <w:rPr>
                <w:b/>
              </w:rPr>
              <w:t>Opleidingsactiviteiten</w:t>
            </w:r>
          </w:p>
        </w:tc>
        <w:tc>
          <w:tcPr>
            <w:tcW w:w="2268" w:type="dxa"/>
          </w:tcPr>
          <w:p w:rsidR="00714691" w:rsidRPr="00B82540" w:rsidRDefault="00714691" w:rsidP="007710C0">
            <w:pPr>
              <w:jc w:val="both"/>
              <w:rPr>
                <w:b/>
              </w:rPr>
            </w:pPr>
            <w:r w:rsidRPr="00B82540">
              <w:rPr>
                <w:b/>
              </w:rPr>
              <w:t>Portfolio</w:t>
            </w:r>
          </w:p>
        </w:tc>
      </w:tr>
      <w:tr w:rsidR="00714691" w:rsidRPr="00B82540" w:rsidTr="007710C0">
        <w:tc>
          <w:tcPr>
            <w:tcW w:w="464" w:type="dxa"/>
            <w:shd w:val="clear" w:color="auto" w:fill="00FFFF"/>
          </w:tcPr>
          <w:p w:rsidR="00714691" w:rsidRPr="00B82540" w:rsidRDefault="00714691" w:rsidP="007710C0">
            <w:pPr>
              <w:jc w:val="both"/>
            </w:pPr>
          </w:p>
        </w:tc>
        <w:tc>
          <w:tcPr>
            <w:tcW w:w="8609" w:type="dxa"/>
          </w:tcPr>
          <w:p w:rsidR="00714691" w:rsidRPr="00B82540" w:rsidRDefault="00714691" w:rsidP="007710C0">
            <w:pPr>
              <w:jc w:val="both"/>
              <w:rPr>
                <w:b/>
              </w:rPr>
            </w:pPr>
            <w:r w:rsidRPr="00B82540">
              <w:rPr>
                <w:b/>
              </w:rPr>
              <w:t>Thema’s:</w:t>
            </w:r>
          </w:p>
          <w:p w:rsidR="00714691" w:rsidRPr="00B82540" w:rsidRDefault="00714691" w:rsidP="007710C0">
            <w:pPr>
              <w:jc w:val="both"/>
            </w:pPr>
          </w:p>
          <w:p w:rsidR="00714691" w:rsidRPr="00B82540" w:rsidRDefault="00714691" w:rsidP="00714691">
            <w:pPr>
              <w:numPr>
                <w:ilvl w:val="0"/>
                <w:numId w:val="1"/>
              </w:numPr>
              <w:jc w:val="both"/>
            </w:pPr>
            <w:r w:rsidRPr="00B82540">
              <w:t>Thema 15: Longfunctie</w:t>
            </w:r>
          </w:p>
          <w:p w:rsidR="00714691" w:rsidRPr="00B82540" w:rsidRDefault="00714691" w:rsidP="00714691">
            <w:pPr>
              <w:numPr>
                <w:ilvl w:val="0"/>
                <w:numId w:val="1"/>
              </w:numPr>
              <w:jc w:val="both"/>
            </w:pPr>
            <w:r w:rsidRPr="00B82540">
              <w:t>Thema 16: respiratoire allergie</w:t>
            </w:r>
          </w:p>
          <w:p w:rsidR="00714691" w:rsidRPr="00B82540" w:rsidRDefault="00714691" w:rsidP="007710C0">
            <w:pPr>
              <w:jc w:val="both"/>
            </w:pPr>
          </w:p>
          <w:p w:rsidR="00714691" w:rsidRPr="00B82540" w:rsidRDefault="00714691" w:rsidP="007710C0">
            <w:pPr>
              <w:jc w:val="both"/>
            </w:pPr>
            <w:r w:rsidRPr="00B82540">
              <w:t xml:space="preserve">1.De </w:t>
            </w:r>
            <w:r>
              <w:t>AIOS</w:t>
            </w:r>
            <w:r w:rsidRPr="00B82540">
              <w:t xml:space="preserve"> heeft voldoende competentie in de indicatie stelling, uitvoering en interpretatie van de volgende onderzoeken en behandelingen.</w:t>
            </w:r>
          </w:p>
          <w:p w:rsidR="00714691" w:rsidRPr="00B82540" w:rsidRDefault="00714691" w:rsidP="007710C0">
            <w:pPr>
              <w:widowControl w:val="0"/>
              <w:autoSpaceDE w:val="0"/>
              <w:autoSpaceDN w:val="0"/>
              <w:adjustRightInd w:val="0"/>
              <w:jc w:val="both"/>
            </w:pPr>
            <w:r w:rsidRPr="00B82540">
              <w:t>Longfunctie onderzoek om de respiratoire volumes,</w:t>
            </w:r>
            <w:r>
              <w:t xml:space="preserve"> </w:t>
            </w:r>
            <w:r w:rsidRPr="00B82540">
              <w:t>ademmechanica en gasuitwisseling vast te kunnen stellen</w:t>
            </w:r>
            <w:r>
              <w:t xml:space="preserve"> </w:t>
            </w:r>
            <w:r w:rsidRPr="00B82540">
              <w:t>inclusief: spirometrie, flow-volume onderzoek, longvolumes (inclusief body plethysmografie), transfer factor (diffusiecapaciteit), ventilatie/perfusie verhoudingen/verdeling, luchtwegweerstand, compliance, shuntmeting, inspiratoire en expiratoire monddrukmeting, arterieel bloedgasonderzoek, en inspanningsonderzoek.</w:t>
            </w:r>
          </w:p>
          <w:p w:rsidR="00714691" w:rsidRPr="00B82540" w:rsidRDefault="00714691" w:rsidP="007710C0">
            <w:pPr>
              <w:widowControl w:val="0"/>
              <w:autoSpaceDE w:val="0"/>
              <w:autoSpaceDN w:val="0"/>
              <w:adjustRightInd w:val="0"/>
              <w:jc w:val="both"/>
            </w:pPr>
            <w:r w:rsidRPr="00B82540">
              <w:t>2.Metingen ter bepaling van de bronchiale hyperreactiviteit, huidtesten, en immunologisch onderzoek voornamelijk in relatie tot respiratoire allergie.</w:t>
            </w:r>
          </w:p>
          <w:p w:rsidR="00714691" w:rsidRPr="00B82540" w:rsidRDefault="00714691" w:rsidP="007710C0">
            <w:pPr>
              <w:widowControl w:val="0"/>
              <w:autoSpaceDE w:val="0"/>
              <w:autoSpaceDN w:val="0"/>
              <w:adjustRightInd w:val="0"/>
              <w:jc w:val="both"/>
            </w:pPr>
            <w:r w:rsidRPr="00B82540">
              <w:t xml:space="preserve">3.De </w:t>
            </w:r>
            <w:r>
              <w:t>AIOS</w:t>
            </w:r>
            <w:r w:rsidRPr="00B82540">
              <w:t xml:space="preserve"> beoordeelt op juiste wijze longfuncties van derden en stelt de juiste conclusies. </w:t>
            </w:r>
          </w:p>
          <w:p w:rsidR="00714691" w:rsidRPr="00B82540" w:rsidRDefault="00714691" w:rsidP="007710C0">
            <w:pPr>
              <w:widowControl w:val="0"/>
              <w:autoSpaceDE w:val="0"/>
              <w:autoSpaceDN w:val="0"/>
              <w:adjustRightInd w:val="0"/>
              <w:jc w:val="both"/>
            </w:pPr>
            <w:r w:rsidRPr="00B82540">
              <w:t xml:space="preserve">4.Inhalatietechniek. </w:t>
            </w:r>
          </w:p>
          <w:p w:rsidR="00714691" w:rsidRPr="00B82540" w:rsidRDefault="00714691" w:rsidP="007710C0">
            <w:pPr>
              <w:widowControl w:val="0"/>
              <w:autoSpaceDE w:val="0"/>
              <w:autoSpaceDN w:val="0"/>
              <w:adjustRightInd w:val="0"/>
              <w:jc w:val="both"/>
            </w:pPr>
            <w:r w:rsidRPr="00B82540">
              <w:t>5.Het opzetten en begeleiden van trialwerkzaamheden.</w:t>
            </w:r>
          </w:p>
          <w:p w:rsidR="00714691" w:rsidRPr="00B82540" w:rsidRDefault="00714691" w:rsidP="007710C0">
            <w:pPr>
              <w:jc w:val="both"/>
              <w:rPr>
                <w:b/>
              </w:rPr>
            </w:pPr>
            <w:r>
              <w:t>6.</w:t>
            </w:r>
            <w:r w:rsidRPr="00B82540">
              <w:t xml:space="preserve">De </w:t>
            </w:r>
            <w:r>
              <w:t xml:space="preserve">AIOS zit regelmatig het </w:t>
            </w:r>
            <w:r w:rsidRPr="00B82540">
              <w:t>MDO voor teneinde de algemene competenties als communicatie, samenwerking, maatschappelijk handelen, organisatie en professionaliteit te ontwikkelen.</w:t>
            </w:r>
          </w:p>
          <w:p w:rsidR="00714691" w:rsidRPr="00B82540" w:rsidRDefault="00714691" w:rsidP="007710C0">
            <w:pPr>
              <w:jc w:val="both"/>
            </w:pPr>
          </w:p>
        </w:tc>
        <w:tc>
          <w:tcPr>
            <w:tcW w:w="2551" w:type="dxa"/>
          </w:tcPr>
          <w:p w:rsidR="00714691" w:rsidRPr="00B82540" w:rsidRDefault="00714691" w:rsidP="00714691">
            <w:pPr>
              <w:numPr>
                <w:ilvl w:val="0"/>
                <w:numId w:val="1"/>
              </w:numPr>
              <w:jc w:val="both"/>
            </w:pPr>
            <w:r w:rsidRPr="00B82540">
              <w:t>longfunctie afdeling</w:t>
            </w:r>
          </w:p>
          <w:p w:rsidR="00714691" w:rsidRPr="00B82540" w:rsidRDefault="00714691" w:rsidP="00714691">
            <w:pPr>
              <w:numPr>
                <w:ilvl w:val="0"/>
                <w:numId w:val="1"/>
              </w:numPr>
              <w:jc w:val="both"/>
            </w:pPr>
            <w:r w:rsidRPr="00B82540">
              <w:t>ergometrie</w:t>
            </w:r>
          </w:p>
          <w:p w:rsidR="00714691" w:rsidRPr="00B82540" w:rsidRDefault="00714691" w:rsidP="00714691">
            <w:pPr>
              <w:numPr>
                <w:ilvl w:val="0"/>
                <w:numId w:val="1"/>
              </w:numPr>
              <w:jc w:val="both"/>
            </w:pPr>
            <w:r w:rsidRPr="00B82540">
              <w:t>polikliniek</w:t>
            </w:r>
          </w:p>
          <w:p w:rsidR="00714691" w:rsidRDefault="00714691" w:rsidP="00714691">
            <w:pPr>
              <w:numPr>
                <w:ilvl w:val="0"/>
                <w:numId w:val="1"/>
              </w:numPr>
              <w:jc w:val="both"/>
            </w:pPr>
            <w:r w:rsidRPr="00B82540">
              <w:t>Voor/ nabespreking casuïstiek met</w:t>
            </w:r>
          </w:p>
          <w:p w:rsidR="00714691" w:rsidRPr="00B82540" w:rsidRDefault="00714691" w:rsidP="007710C0">
            <w:pPr>
              <w:ind w:left="397"/>
              <w:jc w:val="both"/>
            </w:pPr>
            <w:r w:rsidRPr="00B82540">
              <w:t>supervisor</w:t>
            </w:r>
          </w:p>
          <w:p w:rsidR="00714691" w:rsidRPr="00B82540" w:rsidRDefault="00714691" w:rsidP="00714691">
            <w:pPr>
              <w:numPr>
                <w:ilvl w:val="0"/>
                <w:numId w:val="1"/>
              </w:numPr>
              <w:jc w:val="both"/>
            </w:pPr>
            <w:r w:rsidRPr="00B82540">
              <w:t>Slaapregistratie KNF</w:t>
            </w:r>
          </w:p>
          <w:p w:rsidR="00714691" w:rsidRPr="00B82540" w:rsidRDefault="00714691" w:rsidP="00714691">
            <w:pPr>
              <w:numPr>
                <w:ilvl w:val="0"/>
                <w:numId w:val="1"/>
              </w:numPr>
              <w:jc w:val="both"/>
            </w:pPr>
            <w:r w:rsidRPr="00B82540">
              <w:t>Beoordelen slaapregistraties, spirometrieën</w:t>
            </w:r>
          </w:p>
          <w:p w:rsidR="00714691" w:rsidRPr="00B82540" w:rsidRDefault="00714691" w:rsidP="00714691">
            <w:pPr>
              <w:numPr>
                <w:ilvl w:val="0"/>
                <w:numId w:val="1"/>
              </w:numPr>
              <w:jc w:val="both"/>
            </w:pPr>
            <w:r w:rsidRPr="00B82540">
              <w:t xml:space="preserve">Revalidatie bespreking (MCK) </w:t>
            </w:r>
          </w:p>
          <w:p w:rsidR="00714691" w:rsidRPr="00B82540" w:rsidRDefault="00714691" w:rsidP="00714691">
            <w:pPr>
              <w:numPr>
                <w:ilvl w:val="0"/>
                <w:numId w:val="1"/>
              </w:numPr>
              <w:jc w:val="both"/>
            </w:pPr>
            <w:r w:rsidRPr="00B82540">
              <w:t>slaappoli</w:t>
            </w:r>
          </w:p>
          <w:p w:rsidR="00714691" w:rsidRPr="00B82540" w:rsidRDefault="00714691" w:rsidP="007710C0">
            <w:pPr>
              <w:jc w:val="both"/>
            </w:pPr>
          </w:p>
        </w:tc>
        <w:tc>
          <w:tcPr>
            <w:tcW w:w="2268" w:type="dxa"/>
          </w:tcPr>
          <w:p w:rsidR="00714691" w:rsidRPr="00B82540" w:rsidRDefault="00714691" w:rsidP="007710C0">
            <w:pPr>
              <w:jc w:val="both"/>
            </w:pPr>
            <w:r w:rsidRPr="00B82540">
              <w:t>4 KPB /OSATS:</w:t>
            </w:r>
          </w:p>
          <w:p w:rsidR="00714691" w:rsidRPr="00B82540" w:rsidRDefault="00714691" w:rsidP="00714691">
            <w:pPr>
              <w:numPr>
                <w:ilvl w:val="0"/>
                <w:numId w:val="1"/>
              </w:numPr>
              <w:jc w:val="both"/>
            </w:pPr>
            <w:r w:rsidRPr="00B82540">
              <w:t>longfunctie</w:t>
            </w:r>
          </w:p>
          <w:p w:rsidR="00714691" w:rsidRPr="00B82540" w:rsidRDefault="00714691" w:rsidP="00714691">
            <w:pPr>
              <w:numPr>
                <w:ilvl w:val="0"/>
                <w:numId w:val="1"/>
              </w:numPr>
              <w:jc w:val="both"/>
            </w:pPr>
            <w:r w:rsidRPr="00B82540">
              <w:t>ergometrie</w:t>
            </w:r>
          </w:p>
          <w:p w:rsidR="00714691" w:rsidRPr="00B82540" w:rsidRDefault="00714691" w:rsidP="00714691">
            <w:pPr>
              <w:numPr>
                <w:ilvl w:val="0"/>
                <w:numId w:val="1"/>
              </w:numPr>
              <w:jc w:val="both"/>
            </w:pPr>
            <w:r w:rsidRPr="00B82540">
              <w:t>slaapregistratie</w:t>
            </w:r>
          </w:p>
          <w:p w:rsidR="00714691" w:rsidRDefault="00714691" w:rsidP="00714691">
            <w:pPr>
              <w:numPr>
                <w:ilvl w:val="0"/>
                <w:numId w:val="2"/>
              </w:numPr>
              <w:jc w:val="both"/>
            </w:pPr>
            <w:r w:rsidRPr="00B82540">
              <w:t>documentatie van PG, PSG,</w:t>
            </w:r>
          </w:p>
          <w:p w:rsidR="00714691" w:rsidRPr="00B82540" w:rsidRDefault="00714691" w:rsidP="007710C0">
            <w:pPr>
              <w:ind w:left="397"/>
              <w:jc w:val="both"/>
            </w:pPr>
            <w:r w:rsidRPr="00B82540">
              <w:t xml:space="preserve">ergometrie </w:t>
            </w:r>
          </w:p>
          <w:p w:rsidR="00714691" w:rsidRPr="00B82540" w:rsidRDefault="00714691" w:rsidP="00714691">
            <w:pPr>
              <w:numPr>
                <w:ilvl w:val="0"/>
                <w:numId w:val="2"/>
              </w:numPr>
              <w:jc w:val="both"/>
            </w:pPr>
            <w:r w:rsidRPr="00B82540">
              <w:t>participatie onderwijs</w:t>
            </w:r>
          </w:p>
          <w:p w:rsidR="00714691" w:rsidRPr="00B82540" w:rsidRDefault="00714691" w:rsidP="007710C0">
            <w:pPr>
              <w:jc w:val="both"/>
            </w:pPr>
          </w:p>
          <w:p w:rsidR="00714691" w:rsidRPr="00B82540" w:rsidRDefault="00714691" w:rsidP="007710C0">
            <w:pPr>
              <w:jc w:val="both"/>
            </w:pPr>
          </w:p>
        </w:tc>
      </w:tr>
    </w:tbl>
    <w:p w:rsidR="00714691" w:rsidRPr="00B82540" w:rsidRDefault="00714691" w:rsidP="00714691">
      <w:pPr>
        <w:jc w:val="both"/>
      </w:pPr>
    </w:p>
    <w:p w:rsidR="00714691" w:rsidRPr="00B82540" w:rsidRDefault="00714691" w:rsidP="00714691">
      <w:pPr>
        <w:jc w:val="both"/>
        <w:rPr>
          <w:b/>
        </w:rPr>
      </w:pPr>
    </w:p>
    <w:p w:rsidR="00714691" w:rsidRDefault="00714691" w:rsidP="00714691">
      <w:pPr>
        <w:jc w:val="both"/>
        <w:rPr>
          <w:b/>
        </w:rPr>
        <w:sectPr w:rsidR="00714691" w:rsidSect="00DA17F4">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3373"/>
        <w:gridCol w:w="3550"/>
        <w:gridCol w:w="2026"/>
      </w:tblGrid>
      <w:tr w:rsidR="00714691" w:rsidRPr="00C7049B" w:rsidTr="007710C0">
        <w:trPr>
          <w:trHeight w:val="543"/>
        </w:trPr>
        <w:tc>
          <w:tcPr>
            <w:tcW w:w="13176" w:type="dxa"/>
            <w:gridSpan w:val="4"/>
            <w:shd w:val="clear" w:color="auto" w:fill="00B0F0"/>
          </w:tcPr>
          <w:p w:rsidR="00714691" w:rsidRPr="00C7049B" w:rsidRDefault="00714691" w:rsidP="007710C0">
            <w:pPr>
              <w:pStyle w:val="Geenafstand1"/>
              <w:rPr>
                <w:rFonts w:ascii="Arial" w:hAnsi="Arial" w:cs="Arial"/>
                <w:sz w:val="24"/>
                <w:szCs w:val="24"/>
                <w:lang w:eastAsia="nl-NL"/>
              </w:rPr>
            </w:pPr>
          </w:p>
        </w:tc>
      </w:tr>
      <w:tr w:rsidR="00714691" w:rsidRPr="00C7049B" w:rsidTr="007710C0">
        <w:trPr>
          <w:trHeight w:val="384"/>
        </w:trPr>
        <w:tc>
          <w:tcPr>
            <w:tcW w:w="677" w:type="dxa"/>
            <w:vMerge w:val="restart"/>
            <w:shd w:val="clear" w:color="auto" w:fill="00B0F0"/>
          </w:tcPr>
          <w:p w:rsidR="00714691" w:rsidRPr="00C7049B" w:rsidRDefault="00714691" w:rsidP="007710C0">
            <w:pPr>
              <w:pStyle w:val="Geenafstand1"/>
              <w:rPr>
                <w:rFonts w:ascii="Arial" w:hAnsi="Arial" w:cs="Arial"/>
                <w:sz w:val="24"/>
                <w:szCs w:val="24"/>
                <w:lang w:eastAsia="nl-NL"/>
              </w:rPr>
            </w:pPr>
          </w:p>
        </w:tc>
        <w:tc>
          <w:tcPr>
            <w:tcW w:w="5859" w:type="dxa"/>
          </w:tcPr>
          <w:p w:rsidR="00714691" w:rsidRPr="00E00D53" w:rsidRDefault="00714691" w:rsidP="007710C0">
            <w:pPr>
              <w:pStyle w:val="Geenafstand1"/>
              <w:rPr>
                <w:rFonts w:ascii="Times New Roman" w:hAnsi="Times New Roman"/>
                <w:b/>
                <w:sz w:val="24"/>
                <w:szCs w:val="24"/>
                <w:lang w:eastAsia="nl-NL"/>
              </w:rPr>
            </w:pPr>
            <w:r w:rsidRPr="00E00D53">
              <w:rPr>
                <w:rFonts w:ascii="Times New Roman" w:hAnsi="Times New Roman"/>
                <w:b/>
                <w:sz w:val="24"/>
                <w:szCs w:val="24"/>
                <w:lang w:eastAsia="nl-NL"/>
              </w:rPr>
              <w:t xml:space="preserve">Leerdoelen </w:t>
            </w:r>
          </w:p>
        </w:tc>
        <w:tc>
          <w:tcPr>
            <w:tcW w:w="3550" w:type="dxa"/>
          </w:tcPr>
          <w:p w:rsidR="00714691" w:rsidRPr="00E00D53" w:rsidRDefault="00714691" w:rsidP="007710C0">
            <w:pPr>
              <w:pStyle w:val="Geenafstand1"/>
              <w:rPr>
                <w:rFonts w:ascii="Times New Roman" w:hAnsi="Times New Roman"/>
                <w:b/>
                <w:sz w:val="24"/>
                <w:szCs w:val="24"/>
                <w:lang w:eastAsia="nl-NL"/>
              </w:rPr>
            </w:pPr>
            <w:r w:rsidRPr="00E00D53">
              <w:rPr>
                <w:rFonts w:ascii="Times New Roman" w:hAnsi="Times New Roman"/>
                <w:b/>
                <w:sz w:val="24"/>
                <w:szCs w:val="24"/>
                <w:lang w:eastAsia="nl-NL"/>
              </w:rPr>
              <w:t>Werkplek/Opleidingsactiviteiten</w:t>
            </w:r>
          </w:p>
        </w:tc>
        <w:tc>
          <w:tcPr>
            <w:tcW w:w="3090" w:type="dxa"/>
          </w:tcPr>
          <w:p w:rsidR="00714691" w:rsidRPr="00E00D53" w:rsidRDefault="00714691" w:rsidP="007710C0">
            <w:pPr>
              <w:pStyle w:val="Geenafstand1"/>
              <w:rPr>
                <w:rFonts w:ascii="Times New Roman" w:hAnsi="Times New Roman"/>
                <w:b/>
                <w:sz w:val="24"/>
                <w:szCs w:val="24"/>
                <w:lang w:eastAsia="nl-NL"/>
              </w:rPr>
            </w:pPr>
            <w:r w:rsidRPr="00E00D53">
              <w:rPr>
                <w:rFonts w:ascii="Times New Roman" w:hAnsi="Times New Roman"/>
                <w:b/>
                <w:sz w:val="24"/>
                <w:szCs w:val="24"/>
                <w:lang w:eastAsia="nl-NL"/>
              </w:rPr>
              <w:t>Portfolio</w:t>
            </w:r>
          </w:p>
        </w:tc>
      </w:tr>
      <w:tr w:rsidR="00714691" w:rsidRPr="00C7049B" w:rsidTr="007710C0">
        <w:trPr>
          <w:trHeight w:val="3427"/>
        </w:trPr>
        <w:tc>
          <w:tcPr>
            <w:tcW w:w="677" w:type="dxa"/>
            <w:vMerge/>
            <w:shd w:val="clear" w:color="auto" w:fill="00B0F0"/>
          </w:tcPr>
          <w:p w:rsidR="00714691" w:rsidRPr="00C7049B" w:rsidRDefault="00714691" w:rsidP="007710C0">
            <w:pPr>
              <w:pStyle w:val="Geenafstand1"/>
              <w:rPr>
                <w:rFonts w:ascii="Arial" w:hAnsi="Arial" w:cs="Arial"/>
                <w:sz w:val="24"/>
                <w:szCs w:val="24"/>
                <w:lang w:eastAsia="nl-NL"/>
              </w:rPr>
            </w:pPr>
          </w:p>
        </w:tc>
        <w:tc>
          <w:tcPr>
            <w:tcW w:w="5859" w:type="dxa"/>
          </w:tcPr>
          <w:p w:rsidR="00714691" w:rsidRPr="00E00D53" w:rsidRDefault="00714691" w:rsidP="007710C0">
            <w:pPr>
              <w:pStyle w:val="Geenafstand1"/>
              <w:rPr>
                <w:rFonts w:ascii="Times New Roman" w:hAnsi="Times New Roman"/>
                <w:sz w:val="24"/>
                <w:szCs w:val="24"/>
                <w:lang w:eastAsia="nl-NL"/>
              </w:rPr>
            </w:pPr>
            <w:r>
              <w:rPr>
                <w:rFonts w:ascii="Times New Roman" w:hAnsi="Times New Roman"/>
                <w:sz w:val="24"/>
                <w:szCs w:val="24"/>
                <w:lang w:eastAsia="nl-NL"/>
              </w:rPr>
              <w:t>Thema 2: Hemoptoë</w:t>
            </w:r>
            <w:r w:rsidRPr="00E00D53">
              <w:rPr>
                <w:rFonts w:ascii="Times New Roman" w:hAnsi="Times New Roman"/>
                <w:sz w:val="24"/>
                <w:szCs w:val="24"/>
                <w:lang w:eastAsia="nl-NL"/>
              </w:rPr>
              <w:t xml:space="preserve"> </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5: Astma</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6: COPD</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7: Pneumonie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9: Tuberculose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 xml:space="preserve">Thema 10: Thoracale oncologie </w:t>
            </w:r>
          </w:p>
          <w:p w:rsidR="00714691" w:rsidRPr="00E00D53" w:rsidRDefault="00714691" w:rsidP="007710C0">
            <w:pPr>
              <w:pStyle w:val="Geenafstand1"/>
              <w:rPr>
                <w:rFonts w:ascii="Times New Roman" w:hAnsi="Times New Roman"/>
                <w:sz w:val="24"/>
                <w:szCs w:val="24"/>
                <w:lang w:eastAsia="nl-NL"/>
              </w:rPr>
            </w:pPr>
            <w:r>
              <w:rPr>
                <w:rFonts w:ascii="Times New Roman" w:hAnsi="Times New Roman"/>
                <w:sz w:val="24"/>
                <w:szCs w:val="24"/>
              </w:rPr>
              <w:t xml:space="preserve">Thema 11: Interstitiële </w:t>
            </w:r>
            <w:r w:rsidRPr="00E00D53">
              <w:rPr>
                <w:rFonts w:ascii="Times New Roman" w:hAnsi="Times New Roman"/>
                <w:sz w:val="24"/>
                <w:szCs w:val="24"/>
              </w:rPr>
              <w:t>longziekten</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13: Acute Longgeneeskunde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14: Pleurale aandoeningen</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Thema 15: Longfunctie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 xml:space="preserve">Thema 17: </w:t>
            </w:r>
            <w:r w:rsidRPr="00E00D53">
              <w:rPr>
                <w:rFonts w:ascii="Times New Roman" w:hAnsi="Times New Roman"/>
                <w:sz w:val="24"/>
                <w:szCs w:val="24"/>
              </w:rPr>
              <w:t>Slaap gebonden ademhalingsstoornissen</w:t>
            </w:r>
          </w:p>
          <w:p w:rsidR="00714691" w:rsidRPr="00E00D53" w:rsidRDefault="00714691" w:rsidP="007710C0">
            <w:pPr>
              <w:pStyle w:val="Geenafstand1"/>
              <w:rPr>
                <w:rFonts w:ascii="Times New Roman" w:hAnsi="Times New Roman"/>
                <w:sz w:val="24"/>
                <w:szCs w:val="24"/>
                <w:lang w:eastAsia="nl-NL"/>
              </w:rPr>
            </w:pPr>
          </w:p>
          <w:p w:rsidR="00714691" w:rsidRPr="00E00D53" w:rsidRDefault="00714691" w:rsidP="007710C0">
            <w:pPr>
              <w:pStyle w:val="Geenafstand1"/>
              <w:rPr>
                <w:rFonts w:ascii="Times New Roman" w:hAnsi="Times New Roman"/>
                <w:i/>
                <w:sz w:val="24"/>
                <w:szCs w:val="24"/>
                <w:lang w:eastAsia="nl-NL"/>
              </w:rPr>
            </w:pPr>
          </w:p>
        </w:tc>
        <w:tc>
          <w:tcPr>
            <w:tcW w:w="3550" w:type="dxa"/>
          </w:tcPr>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Zie schema:</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-Behandelkamer</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-Longfunctie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-Poli OSAS verpleegkundige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-Poli Longconsulenten</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-SEH</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-Afdeling</w:t>
            </w:r>
          </w:p>
        </w:tc>
        <w:tc>
          <w:tcPr>
            <w:tcW w:w="3090" w:type="dxa"/>
          </w:tcPr>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KPB, OSATS:</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-pleurapunctie,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-thoraxdrainage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-bronchoscopie</w:t>
            </w:r>
          </w:p>
          <w:p w:rsidR="00714691" w:rsidRPr="00E00D53" w:rsidRDefault="00714691" w:rsidP="007710C0">
            <w:pPr>
              <w:pStyle w:val="Geenafstand1"/>
              <w:rPr>
                <w:rFonts w:ascii="Times New Roman" w:hAnsi="Times New Roman"/>
                <w:sz w:val="24"/>
                <w:szCs w:val="24"/>
                <w:lang w:eastAsia="nl-NL"/>
              </w:rPr>
            </w:pPr>
            <w:r w:rsidRPr="00E00D53">
              <w:rPr>
                <w:rFonts w:ascii="Times New Roman" w:hAnsi="Times New Roman"/>
                <w:sz w:val="24"/>
                <w:szCs w:val="24"/>
                <w:lang w:eastAsia="nl-NL"/>
              </w:rPr>
              <w:t>-BAL</w:t>
            </w:r>
          </w:p>
        </w:tc>
      </w:tr>
    </w:tbl>
    <w:p w:rsidR="00C676C6" w:rsidRDefault="00C676C6" w:rsidP="0001417F"/>
    <w:sectPr w:rsidR="00C67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56BA4"/>
    <w:multiLevelType w:val="hybridMultilevel"/>
    <w:tmpl w:val="6A48A852"/>
    <w:lvl w:ilvl="0" w:tplc="B63C8E6A">
      <w:start w:val="1"/>
      <w:numFmt w:val="bullet"/>
      <w:lvlText w:val="-"/>
      <w:lvlJc w:val="left"/>
      <w:pPr>
        <w:tabs>
          <w:tab w:val="num" w:pos="360"/>
        </w:tabs>
        <w:ind w:left="340" w:hanging="340"/>
      </w:pPr>
      <w:rPr>
        <w:rFonts w:ascii="Trebuchet MS" w:hAnsi="Trebuchet M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8E0337D"/>
    <w:multiLevelType w:val="hybridMultilevel"/>
    <w:tmpl w:val="F454C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D2B3F04"/>
    <w:multiLevelType w:val="hybridMultilevel"/>
    <w:tmpl w:val="BD2CE0BA"/>
    <w:lvl w:ilvl="0" w:tplc="000F0409">
      <w:numFmt w:val="bullet"/>
      <w:lvlText w:val="-"/>
      <w:lvlJc w:val="left"/>
      <w:pPr>
        <w:tabs>
          <w:tab w:val="num" w:pos="397"/>
        </w:tabs>
        <w:ind w:left="397" w:hanging="397"/>
      </w:pPr>
      <w:rPr>
        <w:rFonts w:ascii="Arial" w:eastAsia="Times New Roman" w:hAnsi="Aria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
    <w:nsid w:val="7F582770"/>
    <w:multiLevelType w:val="hybridMultilevel"/>
    <w:tmpl w:val="45AC4B3E"/>
    <w:lvl w:ilvl="0" w:tplc="175ABFF2">
      <w:numFmt w:val="bullet"/>
      <w:lvlText w:val="-"/>
      <w:lvlJc w:val="left"/>
      <w:pPr>
        <w:tabs>
          <w:tab w:val="num" w:pos="397"/>
        </w:tabs>
        <w:ind w:left="397" w:hanging="397"/>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91"/>
    <w:rsid w:val="0001417F"/>
    <w:rsid w:val="003645E3"/>
    <w:rsid w:val="00714691"/>
    <w:rsid w:val="00C67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69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714691"/>
    <w:pPr>
      <w:keepNext/>
      <w:spacing w:before="240" w:after="60"/>
      <w:outlineLvl w:val="1"/>
    </w:pPr>
    <w:rPr>
      <w:rFonts w:ascii="Arial" w:hAnsi="Arial" w:cs="Arial"/>
      <w:b/>
      <w:bCs/>
      <w:i/>
      <w:iCs/>
      <w:sz w:val="28"/>
      <w:szCs w:val="28"/>
      <w:lang w:eastAsia="en-US"/>
    </w:rPr>
  </w:style>
  <w:style w:type="paragraph" w:styleId="Kop9">
    <w:name w:val="heading 9"/>
    <w:basedOn w:val="Standaard"/>
    <w:next w:val="Standaard"/>
    <w:link w:val="Kop9Char"/>
    <w:uiPriority w:val="99"/>
    <w:qFormat/>
    <w:rsid w:val="00714691"/>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9"/>
    <w:rsid w:val="00714691"/>
    <w:rPr>
      <w:rFonts w:ascii="Arial" w:eastAsia="Times New Roman" w:hAnsi="Arial" w:cs="Arial"/>
      <w:b/>
      <w:bCs/>
      <w:i/>
      <w:iCs/>
      <w:sz w:val="28"/>
      <w:szCs w:val="28"/>
    </w:rPr>
  </w:style>
  <w:style w:type="character" w:customStyle="1" w:styleId="Kop9Char">
    <w:name w:val="Kop 9 Char"/>
    <w:basedOn w:val="Standaardalinea-lettertype"/>
    <w:link w:val="Kop9"/>
    <w:uiPriority w:val="99"/>
    <w:rsid w:val="00714691"/>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714691"/>
    <w:rPr>
      <w:b/>
      <w:bCs/>
    </w:rPr>
  </w:style>
  <w:style w:type="character" w:customStyle="1" w:styleId="Plattetekst2Char">
    <w:name w:val="Platte tekst 2 Char"/>
    <w:basedOn w:val="Standaardalinea-lettertype"/>
    <w:link w:val="Plattetekst2"/>
    <w:uiPriority w:val="99"/>
    <w:rsid w:val="00714691"/>
    <w:rPr>
      <w:rFonts w:ascii="Times New Roman" w:eastAsia="Times New Roman" w:hAnsi="Times New Roman" w:cs="Times New Roman"/>
      <w:b/>
      <w:bCs/>
      <w:sz w:val="24"/>
      <w:szCs w:val="24"/>
      <w:lang w:eastAsia="nl-NL"/>
    </w:rPr>
  </w:style>
  <w:style w:type="paragraph" w:styleId="Plattetekst">
    <w:name w:val="Body Text"/>
    <w:basedOn w:val="Standaard"/>
    <w:link w:val="PlattetekstChar1"/>
    <w:uiPriority w:val="99"/>
    <w:rsid w:val="00714691"/>
    <w:rPr>
      <w:szCs w:val="20"/>
      <w:lang w:eastAsia="en-US"/>
    </w:rPr>
  </w:style>
  <w:style w:type="character" w:customStyle="1" w:styleId="PlattetekstChar">
    <w:name w:val="Platte tekst Char"/>
    <w:basedOn w:val="Standaardalinea-lettertype"/>
    <w:uiPriority w:val="99"/>
    <w:semiHidden/>
    <w:rsid w:val="00714691"/>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714691"/>
    <w:rPr>
      <w:rFonts w:ascii="Times New Roman" w:eastAsia="Times New Roman" w:hAnsi="Times New Roman" w:cs="Times New Roman"/>
      <w:sz w:val="24"/>
      <w:szCs w:val="20"/>
    </w:rPr>
  </w:style>
  <w:style w:type="paragraph" w:styleId="Plattetekstinspringen">
    <w:name w:val="Body Text Indent"/>
    <w:basedOn w:val="Standaard"/>
    <w:link w:val="PlattetekstinspringenChar1"/>
    <w:uiPriority w:val="99"/>
    <w:rsid w:val="00714691"/>
    <w:pPr>
      <w:spacing w:after="120"/>
      <w:ind w:left="283"/>
    </w:pPr>
  </w:style>
  <w:style w:type="character" w:customStyle="1" w:styleId="PlattetekstinspringenChar">
    <w:name w:val="Platte tekst inspringen Char"/>
    <w:basedOn w:val="Standaardalinea-lettertype"/>
    <w:uiPriority w:val="99"/>
    <w:semiHidden/>
    <w:rsid w:val="00714691"/>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714691"/>
    <w:rPr>
      <w:rFonts w:ascii="Times New Roman" w:eastAsia="Times New Roman" w:hAnsi="Times New Roman" w:cs="Times New Roman"/>
      <w:sz w:val="24"/>
      <w:szCs w:val="24"/>
      <w:lang w:eastAsia="nl-NL"/>
    </w:rPr>
  </w:style>
  <w:style w:type="paragraph" w:customStyle="1" w:styleId="Geenafstand1">
    <w:name w:val="Geen afstand1"/>
    <w:uiPriority w:val="99"/>
    <w:rsid w:val="0071469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69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14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714691"/>
    <w:pPr>
      <w:keepNext/>
      <w:spacing w:before="240" w:after="60"/>
      <w:outlineLvl w:val="1"/>
    </w:pPr>
    <w:rPr>
      <w:rFonts w:ascii="Arial" w:hAnsi="Arial" w:cs="Arial"/>
      <w:b/>
      <w:bCs/>
      <w:i/>
      <w:iCs/>
      <w:sz w:val="28"/>
      <w:szCs w:val="28"/>
      <w:lang w:eastAsia="en-US"/>
    </w:rPr>
  </w:style>
  <w:style w:type="paragraph" w:styleId="Kop9">
    <w:name w:val="heading 9"/>
    <w:basedOn w:val="Standaard"/>
    <w:next w:val="Standaard"/>
    <w:link w:val="Kop9Char"/>
    <w:uiPriority w:val="99"/>
    <w:qFormat/>
    <w:rsid w:val="00714691"/>
    <w:pPr>
      <w:keepNext/>
      <w:outlineLvl w:val="8"/>
    </w:pPr>
    <w:rPr>
      <w:b/>
      <w:cap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17F"/>
    <w:pPr>
      <w:spacing w:after="0" w:line="240" w:lineRule="auto"/>
    </w:pPr>
  </w:style>
  <w:style w:type="character" w:customStyle="1" w:styleId="Kop1Char">
    <w:name w:val="Kop 1 Char"/>
    <w:basedOn w:val="Standaardalinea-lettertype"/>
    <w:link w:val="Kop1"/>
    <w:uiPriority w:val="9"/>
    <w:rsid w:val="0001417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9"/>
    <w:rsid w:val="00714691"/>
    <w:rPr>
      <w:rFonts w:ascii="Arial" w:eastAsia="Times New Roman" w:hAnsi="Arial" w:cs="Arial"/>
      <w:b/>
      <w:bCs/>
      <w:i/>
      <w:iCs/>
      <w:sz w:val="28"/>
      <w:szCs w:val="28"/>
    </w:rPr>
  </w:style>
  <w:style w:type="character" w:customStyle="1" w:styleId="Kop9Char">
    <w:name w:val="Kop 9 Char"/>
    <w:basedOn w:val="Standaardalinea-lettertype"/>
    <w:link w:val="Kop9"/>
    <w:uiPriority w:val="99"/>
    <w:rsid w:val="00714691"/>
    <w:rPr>
      <w:rFonts w:ascii="Times New Roman" w:eastAsia="Times New Roman" w:hAnsi="Times New Roman" w:cs="Times New Roman"/>
      <w:b/>
      <w:caps/>
      <w:sz w:val="24"/>
      <w:szCs w:val="20"/>
    </w:rPr>
  </w:style>
  <w:style w:type="paragraph" w:styleId="Plattetekst2">
    <w:name w:val="Body Text 2"/>
    <w:basedOn w:val="Standaard"/>
    <w:link w:val="Plattetekst2Char"/>
    <w:uiPriority w:val="99"/>
    <w:rsid w:val="00714691"/>
    <w:rPr>
      <w:b/>
      <w:bCs/>
    </w:rPr>
  </w:style>
  <w:style w:type="character" w:customStyle="1" w:styleId="Plattetekst2Char">
    <w:name w:val="Platte tekst 2 Char"/>
    <w:basedOn w:val="Standaardalinea-lettertype"/>
    <w:link w:val="Plattetekst2"/>
    <w:uiPriority w:val="99"/>
    <w:rsid w:val="00714691"/>
    <w:rPr>
      <w:rFonts w:ascii="Times New Roman" w:eastAsia="Times New Roman" w:hAnsi="Times New Roman" w:cs="Times New Roman"/>
      <w:b/>
      <w:bCs/>
      <w:sz w:val="24"/>
      <w:szCs w:val="24"/>
      <w:lang w:eastAsia="nl-NL"/>
    </w:rPr>
  </w:style>
  <w:style w:type="paragraph" w:styleId="Plattetekst">
    <w:name w:val="Body Text"/>
    <w:basedOn w:val="Standaard"/>
    <w:link w:val="PlattetekstChar1"/>
    <w:uiPriority w:val="99"/>
    <w:rsid w:val="00714691"/>
    <w:rPr>
      <w:szCs w:val="20"/>
      <w:lang w:eastAsia="en-US"/>
    </w:rPr>
  </w:style>
  <w:style w:type="character" w:customStyle="1" w:styleId="PlattetekstChar">
    <w:name w:val="Platte tekst Char"/>
    <w:basedOn w:val="Standaardalinea-lettertype"/>
    <w:uiPriority w:val="99"/>
    <w:semiHidden/>
    <w:rsid w:val="00714691"/>
    <w:rPr>
      <w:rFonts w:ascii="Times New Roman" w:eastAsia="Times New Roman" w:hAnsi="Times New Roman" w:cs="Times New Roman"/>
      <w:sz w:val="24"/>
      <w:szCs w:val="24"/>
      <w:lang w:eastAsia="nl-NL"/>
    </w:rPr>
  </w:style>
  <w:style w:type="character" w:customStyle="1" w:styleId="PlattetekstChar1">
    <w:name w:val="Platte tekst Char1"/>
    <w:basedOn w:val="Standaardalinea-lettertype"/>
    <w:link w:val="Plattetekst"/>
    <w:uiPriority w:val="99"/>
    <w:locked/>
    <w:rsid w:val="00714691"/>
    <w:rPr>
      <w:rFonts w:ascii="Times New Roman" w:eastAsia="Times New Roman" w:hAnsi="Times New Roman" w:cs="Times New Roman"/>
      <w:sz w:val="24"/>
      <w:szCs w:val="20"/>
    </w:rPr>
  </w:style>
  <w:style w:type="paragraph" w:styleId="Plattetekstinspringen">
    <w:name w:val="Body Text Indent"/>
    <w:basedOn w:val="Standaard"/>
    <w:link w:val="PlattetekstinspringenChar1"/>
    <w:uiPriority w:val="99"/>
    <w:rsid w:val="00714691"/>
    <w:pPr>
      <w:spacing w:after="120"/>
      <w:ind w:left="283"/>
    </w:pPr>
  </w:style>
  <w:style w:type="character" w:customStyle="1" w:styleId="PlattetekstinspringenChar">
    <w:name w:val="Platte tekst inspringen Char"/>
    <w:basedOn w:val="Standaardalinea-lettertype"/>
    <w:uiPriority w:val="99"/>
    <w:semiHidden/>
    <w:rsid w:val="00714691"/>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Standaardalinea-lettertype"/>
    <w:link w:val="Plattetekstinspringen"/>
    <w:uiPriority w:val="99"/>
    <w:rsid w:val="00714691"/>
    <w:rPr>
      <w:rFonts w:ascii="Times New Roman" w:eastAsia="Times New Roman" w:hAnsi="Times New Roman" w:cs="Times New Roman"/>
      <w:sz w:val="24"/>
      <w:szCs w:val="24"/>
      <w:lang w:eastAsia="nl-NL"/>
    </w:rPr>
  </w:style>
  <w:style w:type="paragraph" w:customStyle="1" w:styleId="Geenafstand1">
    <w:name w:val="Geen afstand1"/>
    <w:uiPriority w:val="99"/>
    <w:rsid w:val="0071469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5178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Sint Franciscus Gasthuis</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Kooiman, Henriëtte</dc:creator>
  <cp:lastModifiedBy>Rudolphus, Arjan</cp:lastModifiedBy>
  <cp:revision>2</cp:revision>
  <dcterms:created xsi:type="dcterms:W3CDTF">2015-08-31T14:00:00Z</dcterms:created>
  <dcterms:modified xsi:type="dcterms:W3CDTF">2015-08-31T14:00:00Z</dcterms:modified>
</cp:coreProperties>
</file>