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30" w:rsidRPr="001A7E30" w:rsidRDefault="009A23DD" w:rsidP="001A7E30">
      <w:pPr>
        <w:spacing w:line="276" w:lineRule="auto"/>
        <w:rPr>
          <w:rFonts w:ascii="Gibson Light" w:hAnsi="Gibson Light"/>
          <w:b/>
          <w:sz w:val="28"/>
        </w:rPr>
      </w:pPr>
      <w:r>
        <w:rPr>
          <w:rFonts w:ascii="Gibson Light" w:hAnsi="Gibson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65pt;margin-top:-71pt;width:607.9pt;height:208.7pt;z-index:-251658240;mso-position-horizontal-relative:text;mso-position-vertical-relative:text;mso-width-relative:page;mso-height-relative:page">
            <v:imagedata r:id="rId7" o:title="20180420_Informatieblad A4 kop"/>
          </v:shape>
        </w:pict>
      </w:r>
    </w:p>
    <w:p w:rsidR="001A7E30" w:rsidRPr="001A7E30" w:rsidRDefault="001A7E30" w:rsidP="001A7E30">
      <w:pPr>
        <w:spacing w:line="276" w:lineRule="auto"/>
        <w:rPr>
          <w:rFonts w:ascii="Gibson Light" w:hAnsi="Gibson Light"/>
          <w:b/>
          <w:sz w:val="28"/>
        </w:rPr>
      </w:pPr>
    </w:p>
    <w:p w:rsidR="001A7E30" w:rsidRPr="001A7E30" w:rsidRDefault="001A7E30" w:rsidP="001A7E30">
      <w:pPr>
        <w:spacing w:line="276" w:lineRule="auto"/>
        <w:rPr>
          <w:rFonts w:ascii="Gibson Light" w:hAnsi="Gibson Light"/>
          <w:b/>
          <w:sz w:val="28"/>
        </w:rPr>
      </w:pPr>
    </w:p>
    <w:p w:rsidR="001A7E30" w:rsidRPr="001A7E30" w:rsidRDefault="001A7E30" w:rsidP="001A7E30">
      <w:pPr>
        <w:spacing w:line="276" w:lineRule="auto"/>
        <w:rPr>
          <w:rFonts w:ascii="Gibson Light" w:hAnsi="Gibson Light"/>
          <w:b/>
          <w:sz w:val="28"/>
        </w:rPr>
      </w:pPr>
    </w:p>
    <w:p w:rsidR="001A7E30" w:rsidRPr="001A7E30" w:rsidRDefault="001A7E30" w:rsidP="001A7E30">
      <w:pPr>
        <w:spacing w:line="276" w:lineRule="auto"/>
        <w:rPr>
          <w:rFonts w:ascii="Gibson Light" w:hAnsi="Gibson Light"/>
          <w:b/>
          <w:sz w:val="28"/>
        </w:rPr>
      </w:pPr>
    </w:p>
    <w:p w:rsidR="001A7E30" w:rsidRPr="001A7E30" w:rsidRDefault="001A7E30" w:rsidP="001A7E30">
      <w:pPr>
        <w:spacing w:line="276" w:lineRule="auto"/>
        <w:rPr>
          <w:rFonts w:ascii="Gibson Light" w:hAnsi="Gibson Light"/>
          <w:b/>
          <w:sz w:val="28"/>
        </w:rPr>
      </w:pPr>
    </w:p>
    <w:p w:rsidR="0065553C" w:rsidRPr="0065553C" w:rsidRDefault="0065553C" w:rsidP="0065553C">
      <w:pPr>
        <w:pStyle w:val="Geenafstand"/>
        <w:rPr>
          <w:rFonts w:ascii="Gibson Light" w:hAnsi="Gibson Light"/>
          <w:b/>
          <w:sz w:val="31"/>
          <w:szCs w:val="31"/>
        </w:rPr>
      </w:pPr>
      <w:r w:rsidRPr="0065553C">
        <w:rPr>
          <w:rFonts w:ascii="Gibson Light" w:hAnsi="Gibson Light"/>
          <w:b/>
          <w:sz w:val="31"/>
          <w:szCs w:val="31"/>
        </w:rPr>
        <w:t>Ambulante keuzestage/ doorstroomstage</w:t>
      </w:r>
    </w:p>
    <w:p w:rsidR="00677B43" w:rsidRPr="0065553C" w:rsidRDefault="0065553C" w:rsidP="0065553C">
      <w:pPr>
        <w:rPr>
          <w:rFonts w:ascii="Gibson Light" w:eastAsia="Times New Roman" w:hAnsi="Gibson Light" w:cs="WarnockPro-Light"/>
          <w:b/>
          <w:sz w:val="31"/>
          <w:szCs w:val="31"/>
          <w:lang w:eastAsia="nl-NL"/>
        </w:rPr>
      </w:pPr>
      <w:r w:rsidRPr="0065553C">
        <w:rPr>
          <w:rFonts w:ascii="Gibson Light" w:eastAsia="Times New Roman" w:hAnsi="Gibson Light" w:cs="WarnockPro-Light"/>
          <w:b/>
          <w:sz w:val="31"/>
          <w:szCs w:val="31"/>
          <w:lang w:eastAsia="nl-NL"/>
        </w:rPr>
        <w:t>Forensische Psychiatrie</w:t>
      </w:r>
    </w:p>
    <w:p w:rsidR="00C10F3E" w:rsidRPr="001A7E30" w:rsidRDefault="00C10F3E" w:rsidP="001A7E30">
      <w:pPr>
        <w:spacing w:line="276" w:lineRule="auto"/>
        <w:rPr>
          <w:rFonts w:ascii="Gibson Light" w:hAnsi="Gibson Light"/>
          <w:b/>
          <w:sz w:val="21"/>
          <w:szCs w:val="22"/>
        </w:rPr>
      </w:pPr>
    </w:p>
    <w:p w:rsidR="0065553C" w:rsidRDefault="0065553C" w:rsidP="0065553C">
      <w:pPr>
        <w:spacing w:line="276" w:lineRule="auto"/>
        <w:rPr>
          <w:rFonts w:ascii="Gibson" w:eastAsia="Gibson Light" w:hAnsi="Gibson" w:cs="Gibson Light"/>
          <w:bCs/>
          <w:color w:val="3B3838"/>
          <w:sz w:val="22"/>
          <w:szCs w:val="22"/>
          <w:u w:color="3B3838"/>
        </w:rPr>
      </w:pPr>
    </w:p>
    <w:p w:rsidR="0065553C" w:rsidRPr="0065553C" w:rsidRDefault="0065553C" w:rsidP="0065553C">
      <w:pPr>
        <w:spacing w:line="276" w:lineRule="auto"/>
        <w:rPr>
          <w:rFonts w:ascii="Gibson" w:eastAsia="Gibson Light" w:hAnsi="Gibson" w:cs="Gibson Light"/>
          <w:bCs/>
          <w:color w:val="3B3838"/>
          <w:sz w:val="22"/>
          <w:szCs w:val="22"/>
          <w:u w:color="3B3838"/>
        </w:rPr>
      </w:pPr>
      <w:r w:rsidRPr="0065553C">
        <w:rPr>
          <w:rFonts w:ascii="Gibson" w:eastAsia="Gibson Light" w:hAnsi="Gibson" w:cs="Gibson Light"/>
          <w:bCs/>
          <w:color w:val="3B3838"/>
          <w:sz w:val="22"/>
          <w:szCs w:val="22"/>
          <w:u w:color="3B3838"/>
        </w:rPr>
        <w:t>Ben jij een psychiater in opleiding en op zoek naar een doorstroomstage?</w:t>
      </w:r>
    </w:p>
    <w:p w:rsidR="0065553C" w:rsidRPr="0065553C" w:rsidRDefault="0065553C" w:rsidP="0065553C">
      <w:pPr>
        <w:pStyle w:val="Geenafstand"/>
        <w:rPr>
          <w:rFonts w:ascii="Gibson" w:eastAsia="Gibson Light" w:hAnsi="Gibson" w:cs="Gibson Light"/>
          <w:bCs/>
          <w:color w:val="3B3838"/>
          <w:sz w:val="22"/>
          <w:szCs w:val="22"/>
          <w:u w:color="3B3838"/>
          <w:lang w:eastAsia="en-US"/>
        </w:rPr>
      </w:pPr>
      <w:r w:rsidRPr="0065553C">
        <w:rPr>
          <w:rFonts w:ascii="Gibson" w:eastAsia="Gibson Light" w:hAnsi="Gibson" w:cs="Gibson Light"/>
          <w:bCs/>
          <w:color w:val="3B3838"/>
          <w:sz w:val="22"/>
          <w:szCs w:val="22"/>
          <w:u w:color="3B3838"/>
          <w:lang w:eastAsia="en-US"/>
        </w:rPr>
        <w:t>Fivoor biedt, zowel ambulant als klinisch, keuzestages forensische psychiatrie aan voor AIOS'sen psychiatrie die een prikkelende en uitdagende forensische stage willen volgen in een wetenschappelijk ingestelde instelling in de randstadregio. Er zijn verschillende ambulante en klinische mogelijkheden en locaties, uitgewerkt in meerdere modules afhankelijk van je interesse,  voor een periode tussen 6 tot 12 maanden.</w:t>
      </w:r>
    </w:p>
    <w:p w:rsidR="0065553C" w:rsidRPr="0065553C" w:rsidRDefault="0065553C" w:rsidP="0065553C">
      <w:pPr>
        <w:pStyle w:val="Geenafstand"/>
        <w:rPr>
          <w:rFonts w:ascii="Gibson Light" w:eastAsia="Gibson Light" w:hAnsi="Gibson Light" w:cs="Gibson Light"/>
          <w:color w:val="3B3838"/>
          <w:sz w:val="22"/>
          <w:szCs w:val="22"/>
          <w:u w:color="3B3838"/>
          <w:lang w:eastAsia="en-US"/>
        </w:rPr>
      </w:pPr>
    </w:p>
    <w:p w:rsidR="002013D5" w:rsidRDefault="0065553C" w:rsidP="00620335">
      <w:pPr>
        <w:pStyle w:val="Geenafstand"/>
        <w:rPr>
          <w:rFonts w:ascii="Gibson Light" w:eastAsia="Gibson Light" w:hAnsi="Gibson Light" w:cs="Gibson Light"/>
          <w:color w:val="3B3838"/>
          <w:sz w:val="22"/>
          <w:szCs w:val="22"/>
          <w:u w:color="3B3838"/>
          <w:lang w:eastAsia="en-US"/>
        </w:rPr>
      </w:pPr>
      <w:r w:rsidRPr="0065553C">
        <w:rPr>
          <w:rFonts w:ascii="Gibson Light" w:eastAsia="Gibson Light" w:hAnsi="Gibson Light" w:cs="Gibson Light"/>
          <w:color w:val="3B3838"/>
          <w:sz w:val="22"/>
          <w:szCs w:val="22"/>
          <w:u w:color="3B3838"/>
          <w:lang w:eastAsia="en-US"/>
        </w:rPr>
        <w:t>Tijdens de stages kun jezelf verder bekwamen in allerlei deelgebieden van de forensische psychiatrie, soms ook op het grensvlak van psychiatrie en recht. Bij de patiëntenpopulatie is er sprake van complexe psychiatrische en sociale problematiek, waardoor de werkzaamheden zeer uitdagend, boeiend en gevarieerd zijn en de pathologie zeer divers is.</w:t>
      </w:r>
    </w:p>
    <w:p w:rsidR="002013D5" w:rsidRDefault="002013D5" w:rsidP="002013D5">
      <w:pPr>
        <w:spacing w:line="276" w:lineRule="auto"/>
        <w:rPr>
          <w:rFonts w:ascii="Gibson Light" w:eastAsia="Gibson Light" w:hAnsi="Gibson Light" w:cs="Gibson Light"/>
          <w:color w:val="3B3838"/>
          <w:sz w:val="22"/>
          <w:szCs w:val="22"/>
          <w:u w:color="3B3838"/>
        </w:rPr>
      </w:pPr>
    </w:p>
    <w:p w:rsidR="0065553C" w:rsidRPr="0065553C" w:rsidRDefault="0065553C" w:rsidP="0065553C">
      <w:pPr>
        <w:pStyle w:val="Geenafstand"/>
        <w:rPr>
          <w:rFonts w:ascii="Gibson Light" w:eastAsia="Gibson Light" w:hAnsi="Gibson Light" w:cs="Gibson Light"/>
          <w:b/>
          <w:bCs/>
          <w:color w:val="3B3838"/>
          <w:sz w:val="22"/>
          <w:szCs w:val="22"/>
          <w:u w:color="3B3838"/>
        </w:rPr>
      </w:pPr>
      <w:r w:rsidRPr="0065553C">
        <w:rPr>
          <w:rFonts w:ascii="Gibson Light" w:eastAsia="Gibson Light" w:hAnsi="Gibson Light" w:cs="Gibson Light"/>
          <w:b/>
          <w:bCs/>
          <w:color w:val="3B3838"/>
          <w:sz w:val="22"/>
          <w:szCs w:val="22"/>
          <w:u w:color="3B3838"/>
        </w:rPr>
        <w:t>Ambulante stages</w:t>
      </w:r>
    </w:p>
    <w:p w:rsidR="0065553C" w:rsidRDefault="0065553C" w:rsidP="0065553C">
      <w:pPr>
        <w:spacing w:line="276" w:lineRule="auto"/>
        <w:rPr>
          <w:rFonts w:ascii="Gibson Light" w:eastAsia="Gibson Light" w:hAnsi="Gibson Light" w:cs="Gibson Light"/>
          <w:color w:val="3B3838"/>
          <w:sz w:val="22"/>
          <w:szCs w:val="22"/>
          <w:u w:color="3B3838"/>
        </w:rPr>
      </w:pPr>
      <w:r w:rsidRPr="0065553C">
        <w:rPr>
          <w:rFonts w:ascii="Gibson Light" w:eastAsia="Gibson Light" w:hAnsi="Gibson Light" w:cs="Gibson Light"/>
          <w:color w:val="3B3838"/>
          <w:sz w:val="22"/>
          <w:szCs w:val="22"/>
          <w:u w:color="3B3838"/>
        </w:rPr>
        <w:t xml:space="preserve">De stage ambulante forensische psychiatrie bij Fivoor Ambulant, Centrum Rijnmond &amp; Drechtsteden (locatie Rotterdam) bestaat uit diagnostiek bij en behandeling van psychiatrische patiënten die (mede) door hun stoornis een verhoogd forensisch risico hebben. Wij noemen dit ook wel: een hoog risico op Gedrag dat niet Mag. Dit "gedrag dat niet mag" kan agressie zijn, of seksueel normoverschrijdend gedrag of andere vormen van delictgedrag. </w:t>
      </w:r>
    </w:p>
    <w:p w:rsidR="0065553C" w:rsidRDefault="0065553C" w:rsidP="0065553C">
      <w:pPr>
        <w:spacing w:line="276" w:lineRule="auto"/>
        <w:rPr>
          <w:rFonts w:ascii="Gibson Light" w:eastAsia="Gibson Light" w:hAnsi="Gibson Light" w:cs="Gibson Light"/>
          <w:color w:val="3B3838"/>
          <w:sz w:val="22"/>
          <w:szCs w:val="22"/>
          <w:u w:color="3B3838"/>
        </w:rPr>
      </w:pPr>
      <w:r w:rsidRPr="0065553C">
        <w:rPr>
          <w:rFonts w:ascii="Gibson Light" w:eastAsia="Gibson Light" w:hAnsi="Gibson Light" w:cs="Gibson Light"/>
          <w:color w:val="3B3838"/>
          <w:sz w:val="22"/>
          <w:szCs w:val="22"/>
          <w:u w:color="3B3838"/>
        </w:rPr>
        <w:t xml:space="preserve">Wij werken samen met het Erasmus MC, zorglijn forensische psychiatrie. Onze stage heeft een grootstedelijk en duidelijk Rotterdams karakter. Voor de AIOS hebben wij 3 ambulante stagemogelijkheden. Uiteraard kun je zelf ook aangeven waar jij je verder in zou willen bekwamen. </w:t>
      </w:r>
    </w:p>
    <w:p w:rsidR="0065553C" w:rsidRDefault="0065553C" w:rsidP="0065553C">
      <w:pPr>
        <w:spacing w:line="276" w:lineRule="auto"/>
        <w:rPr>
          <w:rFonts w:ascii="Gibson Light" w:eastAsia="Gibson Light" w:hAnsi="Gibson Light" w:cs="Gibson Light"/>
          <w:color w:val="3B3838"/>
          <w:sz w:val="22"/>
          <w:szCs w:val="22"/>
          <w:u w:color="3B3838"/>
        </w:rPr>
      </w:pPr>
    </w:p>
    <w:p w:rsidR="0065553C" w:rsidRPr="0065553C" w:rsidRDefault="0065553C" w:rsidP="0065553C">
      <w:pPr>
        <w:pStyle w:val="Geenafstand"/>
        <w:rPr>
          <w:rFonts w:ascii="Gibson Light" w:eastAsia="Gibson Light" w:hAnsi="Gibson Light" w:cs="Gibson Light"/>
          <w:b/>
          <w:bCs/>
          <w:color w:val="3B3838"/>
          <w:sz w:val="22"/>
          <w:szCs w:val="22"/>
          <w:u w:color="3B3838"/>
        </w:rPr>
      </w:pPr>
      <w:r w:rsidRPr="0065553C">
        <w:rPr>
          <w:rFonts w:ascii="Gibson Light" w:eastAsia="Gibson Light" w:hAnsi="Gibson Light" w:cs="Gibson Light"/>
          <w:b/>
          <w:bCs/>
          <w:color w:val="3B3838"/>
          <w:sz w:val="22"/>
          <w:szCs w:val="22"/>
          <w:u w:color="3B3838"/>
        </w:rPr>
        <w:t xml:space="preserve">Opleidingsmodule 1: Forensische psychiatrie bij jong volwassenen </w:t>
      </w:r>
    </w:p>
    <w:p w:rsidR="0065553C" w:rsidRPr="0065553C" w:rsidRDefault="0065553C" w:rsidP="0065553C">
      <w:pPr>
        <w:pStyle w:val="Geenafstand"/>
        <w:ind w:left="708"/>
        <w:rPr>
          <w:rFonts w:ascii="Gibson Light" w:eastAsia="Gibson Light" w:hAnsi="Gibson Light" w:cs="Gibson Light"/>
          <w:color w:val="3B3838"/>
          <w:sz w:val="22"/>
          <w:szCs w:val="22"/>
          <w:u w:color="3B3838"/>
          <w:lang w:eastAsia="en-US"/>
        </w:rPr>
      </w:pPr>
      <w:r w:rsidRPr="0065553C">
        <w:rPr>
          <w:rFonts w:ascii="Gibson Light" w:eastAsia="Gibson Light" w:hAnsi="Gibson Light" w:cs="Gibson Light"/>
          <w:color w:val="3B3838"/>
          <w:sz w:val="22"/>
          <w:szCs w:val="22"/>
          <w:u w:color="3B3838"/>
          <w:lang w:eastAsia="en-US"/>
        </w:rPr>
        <w:t>Aandachtsgebieden in deze stage zijn: gedragsstoornissen bij jongvolwassenen, transitiepsychiatrie en beleidspsychiatrie. Het is "werken" aan je verdere ontwikkeling. De supervisoren in deze stage zijn 2 ervaren psychiaters. Duur van de stage: 6 maanden of 1 jaar.</w:t>
      </w:r>
    </w:p>
    <w:p w:rsidR="0065553C" w:rsidRPr="00CB6D1F" w:rsidRDefault="0065553C" w:rsidP="0065553C">
      <w:pPr>
        <w:pStyle w:val="Geenafstand"/>
        <w:rPr>
          <w:sz w:val="22"/>
          <w:szCs w:val="22"/>
        </w:rPr>
      </w:pPr>
    </w:p>
    <w:p w:rsidR="0065553C" w:rsidRPr="0065553C" w:rsidRDefault="0065553C" w:rsidP="0065553C">
      <w:pPr>
        <w:pStyle w:val="Geenafstand"/>
        <w:rPr>
          <w:rFonts w:ascii="Gibson Light" w:eastAsia="Gibson Light" w:hAnsi="Gibson Light" w:cs="Gibson Light"/>
          <w:b/>
          <w:bCs/>
          <w:color w:val="3B3838"/>
          <w:sz w:val="22"/>
          <w:szCs w:val="22"/>
          <w:u w:color="3B3838"/>
        </w:rPr>
      </w:pPr>
      <w:r w:rsidRPr="0065553C">
        <w:rPr>
          <w:rFonts w:ascii="Gibson Light" w:eastAsia="Gibson Light" w:hAnsi="Gibson Light" w:cs="Gibson Light"/>
          <w:b/>
          <w:bCs/>
          <w:color w:val="3B3838"/>
          <w:sz w:val="22"/>
          <w:szCs w:val="22"/>
          <w:u w:color="3B3838"/>
        </w:rPr>
        <w:t>Opleidingsmodule 2: Forensische FACT-manschap</w:t>
      </w:r>
    </w:p>
    <w:p w:rsidR="0065553C" w:rsidRPr="0065553C" w:rsidRDefault="0065553C" w:rsidP="0065553C">
      <w:pPr>
        <w:pStyle w:val="Geenafstand"/>
        <w:ind w:left="708"/>
        <w:rPr>
          <w:rFonts w:ascii="Gibson Light" w:eastAsia="Gibson Light" w:hAnsi="Gibson Light" w:cs="Gibson Light"/>
          <w:color w:val="3B3838"/>
          <w:sz w:val="22"/>
          <w:szCs w:val="22"/>
          <w:u w:color="3B3838"/>
          <w:lang w:eastAsia="en-US"/>
        </w:rPr>
      </w:pPr>
      <w:r w:rsidRPr="0065553C">
        <w:rPr>
          <w:rFonts w:ascii="Gibson Light" w:eastAsia="Gibson Light" w:hAnsi="Gibson Light" w:cs="Gibson Light"/>
          <w:color w:val="3B3838"/>
          <w:sz w:val="22"/>
          <w:szCs w:val="22"/>
          <w:u w:color="3B3838"/>
          <w:lang w:eastAsia="en-US"/>
        </w:rPr>
        <w:t xml:space="preserve">In deze stage werk je in een gecertificeerd Forensisch FACT-team voor patiënten vanaf 23 jaar. Je werkt als AIOS nauw samen met een ervaren psychiater (de supervisor) en een verpleegkundig specialist. Duur van de stage: 6 maanden of 1 jaar. </w:t>
      </w:r>
    </w:p>
    <w:p w:rsidR="0065553C" w:rsidRPr="00CB6D1F" w:rsidRDefault="0065553C" w:rsidP="0065553C">
      <w:pPr>
        <w:pStyle w:val="Geenafstand"/>
        <w:ind w:left="708"/>
        <w:rPr>
          <w:b/>
          <w:sz w:val="22"/>
          <w:szCs w:val="22"/>
          <w:u w:val="single"/>
        </w:rPr>
      </w:pPr>
    </w:p>
    <w:p w:rsidR="0065553C" w:rsidRPr="0065553C" w:rsidRDefault="0065553C" w:rsidP="0065553C">
      <w:pPr>
        <w:pStyle w:val="Geenafstand"/>
        <w:rPr>
          <w:rFonts w:ascii="Gibson Light" w:eastAsia="Gibson Light" w:hAnsi="Gibson Light" w:cs="Gibson Light"/>
          <w:b/>
          <w:bCs/>
          <w:color w:val="3B3838"/>
          <w:sz w:val="22"/>
          <w:szCs w:val="22"/>
          <w:u w:color="3B3838"/>
        </w:rPr>
      </w:pPr>
      <w:r w:rsidRPr="0065553C">
        <w:rPr>
          <w:rFonts w:ascii="Gibson Light" w:eastAsia="Gibson Light" w:hAnsi="Gibson Light" w:cs="Gibson Light"/>
          <w:b/>
          <w:bCs/>
          <w:color w:val="3B3838"/>
          <w:sz w:val="22"/>
          <w:szCs w:val="22"/>
          <w:u w:color="3B3838"/>
        </w:rPr>
        <w:t>Opleidingsmodule 3: Forensische vakmanschap en meesterschap</w:t>
      </w:r>
    </w:p>
    <w:p w:rsidR="0065553C" w:rsidRPr="0065553C" w:rsidRDefault="0065553C" w:rsidP="0065553C">
      <w:pPr>
        <w:pStyle w:val="Geenafstand"/>
        <w:ind w:left="708"/>
        <w:rPr>
          <w:rFonts w:ascii="Gibson Light" w:eastAsia="Gibson Light" w:hAnsi="Gibson Light" w:cs="Gibson Light"/>
          <w:color w:val="3B3838"/>
          <w:sz w:val="22"/>
          <w:szCs w:val="22"/>
          <w:u w:color="3B3838"/>
          <w:lang w:eastAsia="en-US"/>
        </w:rPr>
      </w:pPr>
      <w:r w:rsidRPr="0065553C">
        <w:rPr>
          <w:rFonts w:ascii="Gibson Light" w:eastAsia="Gibson Light" w:hAnsi="Gibson Light" w:cs="Gibson Light"/>
          <w:color w:val="3B3838"/>
          <w:sz w:val="22"/>
          <w:szCs w:val="22"/>
          <w:u w:color="3B3838"/>
          <w:lang w:eastAsia="en-US"/>
        </w:rPr>
        <w:t xml:space="preserve">In deze stage werk je in onze zorglijn Forensische ADHD en aanverwante stoornissen, een poliklinische zorglijn met een TOPGGZ-keurmerk voor patiënten met een combinatie van een ontwikkelingsstoornis (ADHD, ASS, LVB of een aangeboren neuropsychiatrische aandoening) en normoverschrijdend gedrag. Deze stage is een combinatie van klinische werkzaamheden en een wetenschappelijke stage. </w:t>
      </w:r>
    </w:p>
    <w:p w:rsidR="0065553C" w:rsidRPr="00CB6D1F" w:rsidRDefault="0065553C" w:rsidP="0065553C">
      <w:pPr>
        <w:pStyle w:val="Geenafstand"/>
        <w:rPr>
          <w:sz w:val="22"/>
          <w:szCs w:val="22"/>
        </w:rPr>
      </w:pPr>
    </w:p>
    <w:p w:rsidR="0065553C" w:rsidRDefault="0065553C" w:rsidP="0065553C">
      <w:pPr>
        <w:pStyle w:val="Geenafstand"/>
        <w:rPr>
          <w:rFonts w:ascii="Gibson Light" w:eastAsia="Gibson Light" w:hAnsi="Gibson Light" w:cs="Gibson Light"/>
          <w:color w:val="3B3838"/>
          <w:sz w:val="22"/>
          <w:szCs w:val="22"/>
          <w:u w:color="3B3838"/>
          <w:lang w:eastAsia="en-US"/>
        </w:rPr>
      </w:pPr>
      <w:r>
        <w:rPr>
          <w:rStyle w:val="Geen"/>
          <w:rFonts w:ascii="Gibson Light" w:eastAsia="Gibson Light" w:hAnsi="Gibson Light" w:cs="Gibson Light"/>
          <w:noProof/>
          <w:color w:val="3B3838"/>
          <w:sz w:val="22"/>
          <w:szCs w:val="22"/>
          <w:u w:color="3B3838"/>
        </w:rPr>
        <w:drawing>
          <wp:anchor distT="57150" distB="57150" distL="57150" distR="57150" simplePos="0" relativeHeight="251657216" behindDoc="0" locked="0" layoutInCell="1" allowOverlap="1" wp14:anchorId="123746B9" wp14:editId="6DA0D79C">
            <wp:simplePos x="0" y="0"/>
            <wp:positionH relativeFrom="page">
              <wp:align>left</wp:align>
            </wp:positionH>
            <wp:positionV relativeFrom="bottomMargin">
              <wp:align>top</wp:align>
            </wp:positionV>
            <wp:extent cx="7543800" cy="1019175"/>
            <wp:effectExtent l="0" t="0" r="0" b="9525"/>
            <wp:wrapSquare wrapText="bothSides" distT="57150" distB="57150" distL="57150" distR="57150"/>
            <wp:docPr id="1073741835" name="officeArt object" descr="20180420_Informatieblad A4 voet"/>
            <wp:cNvGraphicFramePr/>
            <a:graphic xmlns:a="http://schemas.openxmlformats.org/drawingml/2006/main">
              <a:graphicData uri="http://schemas.openxmlformats.org/drawingml/2006/picture">
                <pic:pic xmlns:pic="http://schemas.openxmlformats.org/drawingml/2006/picture">
                  <pic:nvPicPr>
                    <pic:cNvPr id="1073741835" name="20180420_Informatieblad A4 voet" descr="20180420_Informatieblad A4 voet"/>
                    <pic:cNvPicPr>
                      <a:picLocks noChangeAspect="1"/>
                    </pic:cNvPicPr>
                  </pic:nvPicPr>
                  <pic:blipFill>
                    <a:blip r:embed="rId8">
                      <a:extLst/>
                    </a:blip>
                    <a:stretch>
                      <a:fillRect/>
                    </a:stretch>
                  </pic:blipFill>
                  <pic:spPr>
                    <a:xfrm>
                      <a:off x="0" y="0"/>
                      <a:ext cx="7543800" cy="1019175"/>
                    </a:xfrm>
                    <a:prstGeom prst="rect">
                      <a:avLst/>
                    </a:prstGeom>
                    <a:ln w="12700" cap="flat">
                      <a:noFill/>
                      <a:miter lim="400000"/>
                    </a:ln>
                    <a:effectLst/>
                  </pic:spPr>
                </pic:pic>
              </a:graphicData>
            </a:graphic>
          </wp:anchor>
        </w:drawing>
      </w:r>
      <w:r w:rsidRPr="0065553C">
        <w:rPr>
          <w:rFonts w:ascii="Gibson Light" w:eastAsia="Gibson Light" w:hAnsi="Gibson Light" w:cs="Gibson Light"/>
          <w:b/>
          <w:bCs/>
          <w:color w:val="3B3838"/>
          <w:sz w:val="22"/>
          <w:szCs w:val="22"/>
          <w:u w:color="3B3838"/>
        </w:rPr>
        <w:t xml:space="preserve">Opleider Fivoor:  </w:t>
      </w:r>
      <w:r w:rsidR="009A23DD">
        <w:rPr>
          <w:rFonts w:ascii="Gibson Light" w:eastAsia="Gibson Light" w:hAnsi="Gibson Light" w:cs="Gibson Light"/>
          <w:color w:val="3B3838"/>
          <w:sz w:val="22"/>
          <w:szCs w:val="22"/>
          <w:u w:color="3B3838"/>
          <w:lang w:eastAsia="en-US"/>
        </w:rPr>
        <w:t>Arjen Neven</w:t>
      </w:r>
      <w:r w:rsidRPr="0065553C">
        <w:rPr>
          <w:rFonts w:ascii="Gibson Light" w:eastAsia="Gibson Light" w:hAnsi="Gibson Light" w:cs="Gibson Light"/>
          <w:color w:val="3B3838"/>
          <w:sz w:val="22"/>
          <w:szCs w:val="22"/>
          <w:u w:color="3B3838"/>
          <w:lang w:eastAsia="en-US"/>
        </w:rPr>
        <w:t xml:space="preserve"> - psychiater/opleider</w:t>
      </w:r>
    </w:p>
    <w:p w:rsidR="00620335" w:rsidRPr="0065553C" w:rsidRDefault="00620335" w:rsidP="0065553C">
      <w:pPr>
        <w:pStyle w:val="Geenafstand"/>
        <w:rPr>
          <w:rFonts w:ascii="Gibson Light" w:eastAsia="Gibson Light" w:hAnsi="Gibson Light" w:cs="Gibson Light"/>
          <w:color w:val="3B3838"/>
          <w:sz w:val="22"/>
          <w:szCs w:val="22"/>
          <w:u w:color="3B3838"/>
          <w:lang w:eastAsia="en-US"/>
        </w:rPr>
      </w:pPr>
    </w:p>
    <w:p w:rsidR="0065553C" w:rsidRPr="00CB6D1F" w:rsidRDefault="0065553C" w:rsidP="0065553C">
      <w:pPr>
        <w:pStyle w:val="Geenafstand"/>
        <w:rPr>
          <w:rFonts w:asciiTheme="minorHAnsi" w:eastAsiaTheme="minorHAnsi" w:hAnsiTheme="minorHAnsi" w:cstheme="minorBidi"/>
          <w:sz w:val="22"/>
          <w:szCs w:val="22"/>
          <w:lang w:eastAsia="en-US"/>
        </w:rPr>
      </w:pPr>
    </w:p>
    <w:p w:rsidR="00984EE9" w:rsidRPr="002013D5" w:rsidRDefault="0065553C" w:rsidP="00620335">
      <w:pPr>
        <w:widowControl w:val="0"/>
        <w:autoSpaceDE w:val="0"/>
        <w:autoSpaceDN w:val="0"/>
        <w:rPr>
          <w:rFonts w:ascii="Gibson Light" w:hAnsi="Gibson Light"/>
          <w:b/>
          <w:sz w:val="22"/>
          <w:szCs w:val="22"/>
        </w:rPr>
      </w:pPr>
      <w:r w:rsidRPr="0065553C">
        <w:rPr>
          <w:rFonts w:ascii="Gibson Light" w:eastAsia="Gibson Light" w:hAnsi="Gibson Light" w:cs="Gibson Light"/>
          <w:color w:val="3B3838"/>
          <w:sz w:val="22"/>
          <w:szCs w:val="22"/>
          <w:u w:color="3B3838"/>
        </w:rPr>
        <w:t xml:space="preserve">Heb je interesse in een van deze stages? Neem dan contact op met </w:t>
      </w:r>
      <w:r w:rsidR="009A23DD">
        <w:rPr>
          <w:rFonts w:ascii="Gibson Light" w:eastAsia="Gibson Light" w:hAnsi="Gibson Light" w:cs="Gibson Light"/>
          <w:color w:val="3B3838"/>
          <w:sz w:val="22"/>
          <w:szCs w:val="22"/>
          <w:u w:color="3B3838"/>
        </w:rPr>
        <w:t xml:space="preserve">Arjen Neven, psychiater/opleider. </w:t>
      </w:r>
      <w:bookmarkStart w:id="0" w:name="_GoBack"/>
      <w:bookmarkEnd w:id="0"/>
      <w:r w:rsidR="009A23DD">
        <w:rPr>
          <w:rStyle w:val="Hyperlink"/>
          <w:rFonts w:ascii="Gibson Light" w:eastAsia="Gibson Light" w:hAnsi="Gibson Light" w:cs="Gibson Light"/>
          <w:sz w:val="22"/>
          <w:szCs w:val="22"/>
          <w:u w:color="3B3838"/>
        </w:rPr>
        <w:fldChar w:fldCharType="begin"/>
      </w:r>
      <w:r w:rsidR="009A23DD">
        <w:rPr>
          <w:rStyle w:val="Hyperlink"/>
          <w:rFonts w:ascii="Gibson Light" w:eastAsia="Gibson Light" w:hAnsi="Gibson Light" w:cs="Gibson Light"/>
          <w:sz w:val="22"/>
          <w:szCs w:val="22"/>
          <w:u w:color="3B3838"/>
        </w:rPr>
        <w:instrText xml:space="preserve"> HYPERLINK "mailto:</w:instrText>
      </w:r>
      <w:r w:rsidR="009A23DD" w:rsidRPr="009A23DD">
        <w:rPr>
          <w:rStyle w:val="Hyperlink"/>
          <w:rFonts w:ascii="Gibson Light" w:eastAsia="Gibson Light" w:hAnsi="Gibson Light" w:cs="Gibson Light"/>
          <w:sz w:val="22"/>
          <w:szCs w:val="22"/>
          <w:u w:color="3B3838"/>
        </w:rPr>
        <w:instrText>A.Neven@fivoor.nl</w:instrText>
      </w:r>
      <w:r w:rsidR="009A23DD">
        <w:rPr>
          <w:rStyle w:val="Hyperlink"/>
          <w:rFonts w:ascii="Gibson Light" w:eastAsia="Gibson Light" w:hAnsi="Gibson Light" w:cs="Gibson Light"/>
          <w:sz w:val="22"/>
          <w:szCs w:val="22"/>
          <w:u w:color="3B3838"/>
        </w:rPr>
        <w:instrText xml:space="preserve">" </w:instrText>
      </w:r>
      <w:r w:rsidR="009A23DD">
        <w:rPr>
          <w:rStyle w:val="Hyperlink"/>
          <w:rFonts w:ascii="Gibson Light" w:eastAsia="Gibson Light" w:hAnsi="Gibson Light" w:cs="Gibson Light"/>
          <w:sz w:val="22"/>
          <w:szCs w:val="22"/>
          <w:u w:color="3B3838"/>
        </w:rPr>
        <w:fldChar w:fldCharType="separate"/>
      </w:r>
      <w:r w:rsidR="009A23DD" w:rsidRPr="00823C18">
        <w:rPr>
          <w:rStyle w:val="Hyperlink"/>
          <w:rFonts w:ascii="Gibson Light" w:eastAsia="Gibson Light" w:hAnsi="Gibson Light" w:cs="Gibson Light"/>
          <w:sz w:val="22"/>
          <w:szCs w:val="22"/>
          <w:u w:color="3B3838"/>
        </w:rPr>
        <w:t>A.Neven@fivoor.nl</w:t>
      </w:r>
      <w:r w:rsidR="009A23DD">
        <w:rPr>
          <w:rStyle w:val="Hyperlink"/>
          <w:rFonts w:ascii="Gibson Light" w:eastAsia="Gibson Light" w:hAnsi="Gibson Light" w:cs="Gibson Light"/>
          <w:sz w:val="22"/>
          <w:szCs w:val="22"/>
          <w:u w:color="3B3838"/>
        </w:rPr>
        <w:fldChar w:fldCharType="end"/>
      </w:r>
      <w:r w:rsidR="00620335">
        <w:rPr>
          <w:rFonts w:ascii="Gibson Light" w:eastAsia="Gibson Light" w:hAnsi="Gibson Light" w:cs="Gibson Light"/>
          <w:color w:val="3B3838"/>
          <w:sz w:val="22"/>
          <w:szCs w:val="22"/>
          <w:u w:color="3B3838"/>
        </w:rPr>
        <w:t xml:space="preserve">. </w:t>
      </w:r>
    </w:p>
    <w:sectPr w:rsidR="00984EE9" w:rsidRPr="002013D5" w:rsidSect="008E5EC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1AA" w:rsidRDefault="009451AA" w:rsidP="009451AA">
      <w:r>
        <w:separator/>
      </w:r>
    </w:p>
  </w:endnote>
  <w:endnote w:type="continuationSeparator" w:id="0">
    <w:p w:rsidR="009451AA" w:rsidRDefault="009451AA" w:rsidP="0094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bson Light">
    <w:panose1 w:val="02000000000000000000"/>
    <w:charset w:val="00"/>
    <w:family w:val="modern"/>
    <w:notTrueType/>
    <w:pitch w:val="variable"/>
    <w:sig w:usb0="A000002F" w:usb1="5000004A" w:usb2="00000000" w:usb3="00000000" w:csb0="00000093" w:csb1="00000000"/>
  </w:font>
  <w:font w:name="WarnockPro-Light">
    <w:panose1 w:val="00000000000000000000"/>
    <w:charset w:val="00"/>
    <w:family w:val="roman"/>
    <w:notTrueType/>
    <w:pitch w:val="default"/>
    <w:sig w:usb0="00000003" w:usb1="00000000" w:usb2="00000000" w:usb3="00000000" w:csb0="00000001" w:csb1="00000000"/>
  </w:font>
  <w:font w:name="Gibson">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1AA" w:rsidRDefault="009451AA" w:rsidP="009451AA">
      <w:r>
        <w:separator/>
      </w:r>
    </w:p>
  </w:footnote>
  <w:footnote w:type="continuationSeparator" w:id="0">
    <w:p w:rsidR="009451AA" w:rsidRDefault="009451AA" w:rsidP="00945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0BAD"/>
    <w:multiLevelType w:val="hybridMultilevel"/>
    <w:tmpl w:val="B47C65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8EE4A59"/>
    <w:multiLevelType w:val="hybridMultilevel"/>
    <w:tmpl w:val="052AA0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CC"/>
    <w:rsid w:val="00056E92"/>
    <w:rsid w:val="00073EE9"/>
    <w:rsid w:val="00174B49"/>
    <w:rsid w:val="001A7E30"/>
    <w:rsid w:val="002013D5"/>
    <w:rsid w:val="00234F50"/>
    <w:rsid w:val="00285228"/>
    <w:rsid w:val="002C0E3C"/>
    <w:rsid w:val="003177B9"/>
    <w:rsid w:val="00500B58"/>
    <w:rsid w:val="00567165"/>
    <w:rsid w:val="005F1060"/>
    <w:rsid w:val="00620335"/>
    <w:rsid w:val="0065553C"/>
    <w:rsid w:val="00677B43"/>
    <w:rsid w:val="00735B1F"/>
    <w:rsid w:val="007B372B"/>
    <w:rsid w:val="0087627A"/>
    <w:rsid w:val="008923DA"/>
    <w:rsid w:val="008A2FB3"/>
    <w:rsid w:val="008E5EC7"/>
    <w:rsid w:val="0093629F"/>
    <w:rsid w:val="009451AA"/>
    <w:rsid w:val="00955E4B"/>
    <w:rsid w:val="00984EE9"/>
    <w:rsid w:val="009A23DD"/>
    <w:rsid w:val="00C10900"/>
    <w:rsid w:val="00C10F3E"/>
    <w:rsid w:val="00CF3D53"/>
    <w:rsid w:val="00DC7199"/>
    <w:rsid w:val="00DE7D5F"/>
    <w:rsid w:val="00E3230A"/>
    <w:rsid w:val="00ED3ACC"/>
    <w:rsid w:val="00F21618"/>
    <w:rsid w:val="00F42060"/>
    <w:rsid w:val="00F771F1"/>
    <w:rsid w:val="00FF0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B727ED"/>
  <w15:chartTrackingRefBased/>
  <w15:docId w15:val="{A7CC8D41-1CFE-2141-94E3-A1DFF683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0B58"/>
    <w:pPr>
      <w:ind w:left="720"/>
      <w:contextualSpacing/>
    </w:pPr>
  </w:style>
  <w:style w:type="character" w:styleId="Hyperlink">
    <w:name w:val="Hyperlink"/>
    <w:basedOn w:val="Standaardalinea-lettertype"/>
    <w:uiPriority w:val="99"/>
    <w:unhideWhenUsed/>
    <w:rsid w:val="00285228"/>
    <w:rPr>
      <w:color w:val="0563C1" w:themeColor="hyperlink"/>
      <w:u w:val="single"/>
    </w:rPr>
  </w:style>
  <w:style w:type="character" w:customStyle="1" w:styleId="UnresolvedMention">
    <w:name w:val="Unresolved Mention"/>
    <w:basedOn w:val="Standaardalinea-lettertype"/>
    <w:uiPriority w:val="99"/>
    <w:rsid w:val="00285228"/>
    <w:rPr>
      <w:color w:val="605E5C"/>
      <w:shd w:val="clear" w:color="auto" w:fill="E1DFDD"/>
    </w:rPr>
  </w:style>
  <w:style w:type="character" w:customStyle="1" w:styleId="Geen">
    <w:name w:val="Geen"/>
    <w:rsid w:val="002013D5"/>
  </w:style>
  <w:style w:type="character" w:customStyle="1" w:styleId="Hyperlink3">
    <w:name w:val="Hyperlink.3"/>
    <w:basedOn w:val="Standaardalinea-lettertype"/>
    <w:rsid w:val="002013D5"/>
    <w:rPr>
      <w:rFonts w:ascii="Gibson Light" w:eastAsia="Gibson Light" w:hAnsi="Gibson Light" w:cs="Gibson Light"/>
      <w:i/>
      <w:iCs/>
      <w:color w:val="0563C1"/>
      <w:sz w:val="20"/>
      <w:szCs w:val="20"/>
      <w:u w:val="single" w:color="0563C1"/>
    </w:rPr>
  </w:style>
  <w:style w:type="paragraph" w:styleId="Geenafstand">
    <w:name w:val="No Spacing"/>
    <w:uiPriority w:val="1"/>
    <w:qFormat/>
    <w:rsid w:val="0065553C"/>
    <w:rPr>
      <w:rFonts w:ascii="Calibri" w:eastAsia="Times New Roman" w:hAnsi="Calibri" w:cs="WarnockPro-Light"/>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A4620E07</Template>
  <TotalTime>1</TotalTime>
  <Pages>1</Pages>
  <Words>450</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Van Dantzig Communicatiepartners</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Siermann</dc:creator>
  <cp:keywords/>
  <dc:description/>
  <cp:lastModifiedBy>Linda Kroon</cp:lastModifiedBy>
  <cp:revision>3</cp:revision>
  <cp:lastPrinted>2018-12-12T08:52:00Z</cp:lastPrinted>
  <dcterms:created xsi:type="dcterms:W3CDTF">2018-12-12T08:58:00Z</dcterms:created>
  <dcterms:modified xsi:type="dcterms:W3CDTF">2018-12-18T14:59:00Z</dcterms:modified>
</cp:coreProperties>
</file>