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3151" w14:textId="77777777" w:rsidR="00D519C9" w:rsidRDefault="00D519C9" w:rsidP="00D519C9">
      <w:pPr>
        <w:rPr>
          <w:i/>
        </w:rPr>
      </w:pPr>
      <w:r>
        <w:rPr>
          <w:b/>
          <w:i/>
        </w:rPr>
        <w:t>Differentiatie benigne gynaecologie / minimaal invasieve chirurgie</w:t>
      </w:r>
      <w:r>
        <w:rPr>
          <w:b/>
          <w:i/>
        </w:rPr>
        <w:br/>
      </w:r>
      <w:r>
        <w:rPr>
          <w:i/>
        </w:rPr>
        <w:t>Stagebegeleider:</w:t>
      </w:r>
      <w:r>
        <w:rPr>
          <w:i/>
        </w:rPr>
        <w:tab/>
        <w:t xml:space="preserve">Dr. D. van </w:t>
      </w:r>
      <w:proofErr w:type="spellStart"/>
      <w:r>
        <w:rPr>
          <w:i/>
        </w:rPr>
        <w:t>Hamont</w:t>
      </w:r>
      <w:proofErr w:type="spellEnd"/>
      <w:r>
        <w:rPr>
          <w:i/>
        </w:rPr>
        <w:br/>
      </w:r>
    </w:p>
    <w:p w14:paraId="08EAD642" w14:textId="77777777" w:rsidR="00D519C9" w:rsidRDefault="00D519C9" w:rsidP="00D519C9">
      <w:r>
        <w:t>Deze differentiatie is geschikt voor AIOS die na hun opleiding in een tweede lijn praktijk willen gaan werken met de focus op benigne gynaecologie.</w:t>
      </w:r>
    </w:p>
    <w:p w14:paraId="342A4FAF" w14:textId="77777777" w:rsidR="00D519C9" w:rsidRDefault="00D519C9" w:rsidP="00D519C9">
      <w:r>
        <w:t xml:space="preserve">Afhankelijk van het toekomstig profiel, vindt er verdieping plaats in deelgebieden van de benigne gynaecologie zoals abnormaal uterien bloedverlies, (premaligne) vulvaire en cervixpathologie, </w:t>
      </w:r>
      <w:proofErr w:type="spellStart"/>
      <w:r>
        <w:t>climacteriële</w:t>
      </w:r>
      <w:proofErr w:type="spellEnd"/>
      <w:r>
        <w:t xml:space="preserve"> problematiek, kindergynaecologie, hysteroscopische vaardigheden, laparoscopische vaardigheden en perioperatieve zorg.</w:t>
      </w:r>
    </w:p>
    <w:p w14:paraId="563FBEC5" w14:textId="77777777" w:rsidR="00D519C9" w:rsidRPr="007A19F2" w:rsidRDefault="00D519C9" w:rsidP="00D519C9">
      <w:pPr>
        <w:rPr>
          <w:b/>
          <w:u w:val="single"/>
        </w:rPr>
      </w:pPr>
      <w:r w:rsidRPr="007A19F2">
        <w:rPr>
          <w:b/>
          <w:u w:val="single"/>
        </w:rPr>
        <w:t>Leerdoelen</w:t>
      </w:r>
    </w:p>
    <w:p w14:paraId="66866F5E" w14:textId="77777777" w:rsidR="00D519C9" w:rsidRDefault="00D519C9" w:rsidP="00D519C9">
      <w:r w:rsidRPr="000D62A8">
        <w:rPr>
          <w:b/>
          <w:i/>
        </w:rPr>
        <w:t>Medisch expert</w:t>
      </w:r>
    </w:p>
    <w:p w14:paraId="4E6B6741" w14:textId="77777777" w:rsidR="00D519C9" w:rsidRDefault="00D519C9" w:rsidP="00D519C9">
      <w:pPr>
        <w:pStyle w:val="Lijstalinea"/>
        <w:numPr>
          <w:ilvl w:val="0"/>
          <w:numId w:val="3"/>
        </w:numPr>
      </w:pPr>
      <w:r>
        <w:t>De AIOS verdiept zich in een of meerdere deelgebieden zoals bovengenoemd.</w:t>
      </w:r>
    </w:p>
    <w:p w14:paraId="0964F6FE" w14:textId="77777777" w:rsidR="00D519C9" w:rsidRDefault="00D519C9" w:rsidP="00D519C9">
      <w:pPr>
        <w:pStyle w:val="Lijstalinea"/>
        <w:numPr>
          <w:ilvl w:val="0"/>
          <w:numId w:val="3"/>
        </w:numPr>
      </w:pPr>
      <w:r>
        <w:t>Uitbreiding van kennis en vaardigheden tot zelfstandigheidsniveau: geen supervisie en AIOS in superviserende rol</w:t>
      </w:r>
    </w:p>
    <w:p w14:paraId="0164219A" w14:textId="77777777" w:rsidR="00D519C9" w:rsidRDefault="00D519C9" w:rsidP="00D519C9">
      <w:pPr>
        <w:pStyle w:val="Lijstalinea"/>
        <w:numPr>
          <w:ilvl w:val="0"/>
          <w:numId w:val="3"/>
        </w:numPr>
      </w:pPr>
      <w:r>
        <w:t>Het afnemen van een gestandaardiseerde anamnese</w:t>
      </w:r>
    </w:p>
    <w:p w14:paraId="7969D4AD" w14:textId="77777777" w:rsidR="00D519C9" w:rsidRDefault="00D519C9" w:rsidP="00D519C9">
      <w:pPr>
        <w:pStyle w:val="Lijstalinea"/>
        <w:numPr>
          <w:ilvl w:val="0"/>
          <w:numId w:val="3"/>
        </w:numPr>
      </w:pPr>
      <w:r>
        <w:t>Het vaststellen van cervix/uterus/adnexpathologie via het gynaecologisch en beeldvormend onderzoek zal systematisch worden uitgebreid</w:t>
      </w:r>
    </w:p>
    <w:p w14:paraId="6C10F8D7" w14:textId="77777777" w:rsidR="00D519C9" w:rsidRDefault="00D519C9" w:rsidP="00D519C9">
      <w:pPr>
        <w:pStyle w:val="Lijstalinea"/>
        <w:numPr>
          <w:ilvl w:val="0"/>
          <w:numId w:val="3"/>
        </w:numPr>
      </w:pPr>
      <w:r>
        <w:t>Multidisciplinaire zorg</w:t>
      </w:r>
    </w:p>
    <w:p w14:paraId="62274F8F" w14:textId="77777777" w:rsidR="00D519C9" w:rsidRDefault="00D519C9" w:rsidP="00D519C9">
      <w:pPr>
        <w:pStyle w:val="Lijstalinea"/>
        <w:numPr>
          <w:ilvl w:val="0"/>
          <w:numId w:val="3"/>
        </w:numPr>
      </w:pPr>
      <w:r>
        <w:t>Het leren van, participeren in en organiseren van multidisciplinaire behandelingen</w:t>
      </w:r>
    </w:p>
    <w:p w14:paraId="1923F9BE" w14:textId="77777777" w:rsidR="00D519C9" w:rsidRDefault="00D519C9" w:rsidP="00D519C9">
      <w:pPr>
        <w:pStyle w:val="Lijstalinea"/>
        <w:numPr>
          <w:ilvl w:val="0"/>
          <w:numId w:val="3"/>
        </w:numPr>
      </w:pPr>
      <w:r>
        <w:t>Het leren van verrichten van zinnige en doelmatige zorg</w:t>
      </w:r>
    </w:p>
    <w:p w14:paraId="1430AADE" w14:textId="77777777" w:rsidR="00D519C9" w:rsidRDefault="00D519C9" w:rsidP="00D519C9">
      <w:pPr>
        <w:pStyle w:val="Lijstalinea"/>
        <w:numPr>
          <w:ilvl w:val="0"/>
          <w:numId w:val="3"/>
        </w:numPr>
      </w:pPr>
      <w:r>
        <w:t>Voorzitten en organiseren van besprekingen</w:t>
      </w:r>
    </w:p>
    <w:p w14:paraId="2A17CD02" w14:textId="77777777" w:rsidR="00D519C9" w:rsidRDefault="00D519C9" w:rsidP="00D519C9">
      <w:pPr>
        <w:pStyle w:val="Lijstalinea"/>
        <w:numPr>
          <w:ilvl w:val="0"/>
          <w:numId w:val="3"/>
        </w:numPr>
      </w:pPr>
      <w:r>
        <w:t>Verdiepen in alle aspecten van de endoscopische chirurgie</w:t>
      </w:r>
    </w:p>
    <w:p w14:paraId="6E208EB4" w14:textId="77777777" w:rsidR="00D519C9" w:rsidRDefault="00D519C9" w:rsidP="00D519C9">
      <w:pPr>
        <w:pStyle w:val="Lijstalinea"/>
        <w:numPr>
          <w:ilvl w:val="0"/>
          <w:numId w:val="3"/>
        </w:numPr>
      </w:pPr>
      <w:r>
        <w:t xml:space="preserve">Indien mogelijk bijwonen </w:t>
      </w:r>
      <w:proofErr w:type="spellStart"/>
      <w:r>
        <w:t>embolisatie</w:t>
      </w:r>
      <w:proofErr w:type="spellEnd"/>
      <w:r>
        <w:t xml:space="preserve"> myoom uterus</w:t>
      </w:r>
    </w:p>
    <w:p w14:paraId="720F8C71" w14:textId="77777777" w:rsidR="00D519C9" w:rsidRDefault="00D519C9" w:rsidP="00D519C9">
      <w:pPr>
        <w:pStyle w:val="Lijstalinea"/>
        <w:numPr>
          <w:ilvl w:val="0"/>
          <w:numId w:val="3"/>
        </w:numPr>
      </w:pPr>
      <w:r>
        <w:t xml:space="preserve">Met radioloog MRI-endometriose, uterus </w:t>
      </w:r>
      <w:proofErr w:type="spellStart"/>
      <w:r>
        <w:t>myomatosus</w:t>
      </w:r>
      <w:proofErr w:type="spellEnd"/>
      <w:r>
        <w:t xml:space="preserve"> bekijken</w:t>
      </w:r>
    </w:p>
    <w:p w14:paraId="598BD165" w14:textId="77777777" w:rsidR="00D519C9" w:rsidRDefault="00D519C9" w:rsidP="00D519C9">
      <w:pPr>
        <w:rPr>
          <w:u w:val="single"/>
        </w:rPr>
      </w:pPr>
      <w:r w:rsidRPr="001A2D44">
        <w:rPr>
          <w:b/>
          <w:i/>
        </w:rPr>
        <w:t>Chirurgische vaardigheden</w:t>
      </w:r>
      <w:r>
        <w:rPr>
          <w:b/>
          <w:i/>
        </w:rPr>
        <w:br/>
      </w:r>
      <w:r>
        <w:rPr>
          <w:u w:val="single"/>
        </w:rPr>
        <w:t>Laparoscopische chirurgie:</w:t>
      </w:r>
    </w:p>
    <w:p w14:paraId="63ED03C1" w14:textId="77777777" w:rsidR="00D519C9" w:rsidRDefault="00D519C9" w:rsidP="00D519C9">
      <w:pPr>
        <w:pStyle w:val="Lijstalinea"/>
        <w:numPr>
          <w:ilvl w:val="0"/>
          <w:numId w:val="2"/>
        </w:numPr>
      </w:pPr>
      <w:r>
        <w:t>Level 1-2 laparoscopische ingrepen op zelfstandigheidsniveau 2-3</w:t>
      </w:r>
    </w:p>
    <w:p w14:paraId="16B5EAD1" w14:textId="77777777" w:rsidR="00D519C9" w:rsidRDefault="00D519C9" w:rsidP="00D519C9">
      <w:pPr>
        <w:pStyle w:val="Lijstalinea"/>
        <w:numPr>
          <w:ilvl w:val="0"/>
          <w:numId w:val="2"/>
        </w:numPr>
      </w:pPr>
      <w:r>
        <w:t>Level 3-4 laparoscopische ingrepen (TLH) op zelfstandigheidsniveau 2</w:t>
      </w:r>
    </w:p>
    <w:p w14:paraId="5BFE1663" w14:textId="77777777" w:rsidR="00D519C9" w:rsidRDefault="00D519C9" w:rsidP="00D519C9">
      <w:pPr>
        <w:pStyle w:val="Lijstalinea"/>
        <w:numPr>
          <w:ilvl w:val="0"/>
          <w:numId w:val="2"/>
        </w:numPr>
      </w:pPr>
      <w:r>
        <w:t>Optioneel kennis maken met de gynaecologische robotchirurgie</w:t>
      </w:r>
    </w:p>
    <w:p w14:paraId="3DADB23A" w14:textId="77777777" w:rsidR="00D519C9" w:rsidRDefault="00D519C9" w:rsidP="00D519C9">
      <w:r>
        <w:rPr>
          <w:u w:val="single"/>
        </w:rPr>
        <w:t>Hysteroscopische chirurgie:</w:t>
      </w:r>
    </w:p>
    <w:p w14:paraId="4B9B21E1" w14:textId="77777777" w:rsidR="00D519C9" w:rsidRDefault="00D519C9" w:rsidP="00D519C9">
      <w:pPr>
        <w:pStyle w:val="Lijstalinea"/>
        <w:numPr>
          <w:ilvl w:val="0"/>
          <w:numId w:val="2"/>
        </w:numPr>
      </w:pPr>
      <w:r>
        <w:t>Hysteroscopische ingrepen op de poliklinische behandelkamer of op de ZBK (sedatie) op zelfstandigheidsniveau 2-3</w:t>
      </w:r>
    </w:p>
    <w:p w14:paraId="196F812B" w14:textId="77777777" w:rsidR="00D519C9" w:rsidRDefault="00D519C9" w:rsidP="00D519C9">
      <w:pPr>
        <w:pStyle w:val="Lijstalinea"/>
        <w:numPr>
          <w:ilvl w:val="0"/>
          <w:numId w:val="2"/>
        </w:numPr>
      </w:pPr>
      <w:r>
        <w:t>Therapeutische hysteroscopische ingrepen op OK (grote myomen, placentaresten) op zelfstandigheidsniveau 2</w:t>
      </w:r>
    </w:p>
    <w:p w14:paraId="65BB0C96" w14:textId="77777777" w:rsidR="00D519C9" w:rsidRDefault="00D519C9" w:rsidP="00D519C9">
      <w:r>
        <w:rPr>
          <w:u w:val="single"/>
        </w:rPr>
        <w:t>Overige chirurgie</w:t>
      </w:r>
    </w:p>
    <w:p w14:paraId="53DEB8A6" w14:textId="77777777" w:rsidR="00D519C9" w:rsidRDefault="00D519C9" w:rsidP="00D519C9">
      <w:pPr>
        <w:pStyle w:val="Lijstalinea"/>
        <w:numPr>
          <w:ilvl w:val="0"/>
          <w:numId w:val="2"/>
        </w:numPr>
      </w:pPr>
      <w:r>
        <w:t>Marsupialisatie Bartholinische cyste op zelfstandigheidsniveau 3</w:t>
      </w:r>
    </w:p>
    <w:p w14:paraId="225E9033" w14:textId="77777777" w:rsidR="00D519C9" w:rsidRDefault="00D519C9" w:rsidP="00D519C9">
      <w:pPr>
        <w:pStyle w:val="Lijstalinea"/>
        <w:numPr>
          <w:ilvl w:val="0"/>
          <w:numId w:val="2"/>
        </w:numPr>
      </w:pPr>
      <w:r>
        <w:t>Abdominale hysterectomie voor benigne indicatie op zelfstandigheidsniveau 2</w:t>
      </w:r>
    </w:p>
    <w:p w14:paraId="20CEAA7A" w14:textId="77777777" w:rsidR="00D519C9" w:rsidRDefault="00D519C9" w:rsidP="00D519C9">
      <w:pPr>
        <w:pStyle w:val="Lijstalinea"/>
        <w:numPr>
          <w:ilvl w:val="0"/>
          <w:numId w:val="2"/>
        </w:numPr>
      </w:pPr>
      <w:r>
        <w:t>LLETZ en conisatie voor premaligne cervix afwijkingen op zelfstandigheidsniveau 2</w:t>
      </w:r>
    </w:p>
    <w:p w14:paraId="336EDBC5" w14:textId="77777777" w:rsidR="00D519C9" w:rsidRDefault="00D519C9" w:rsidP="00D519C9">
      <w:r w:rsidRPr="00491A5D">
        <w:rPr>
          <w:b/>
          <w:i/>
        </w:rPr>
        <w:t xml:space="preserve">Onderwijs </w:t>
      </w:r>
      <w:r>
        <w:rPr>
          <w:b/>
          <w:i/>
        </w:rPr>
        <w:t>en wetenschap</w:t>
      </w:r>
      <w:r>
        <w:rPr>
          <w:b/>
          <w:i/>
        </w:rPr>
        <w:br/>
      </w:r>
      <w:r>
        <w:t xml:space="preserve">Het </w:t>
      </w:r>
      <w:proofErr w:type="spellStart"/>
      <w:r>
        <w:t>Amphia</w:t>
      </w:r>
      <w:proofErr w:type="spellEnd"/>
      <w:r>
        <w:t xml:space="preserve"> heeft een goed functionerend leerhuis (</w:t>
      </w:r>
      <w:proofErr w:type="spellStart"/>
      <w:r>
        <w:t>Amphia</w:t>
      </w:r>
      <w:proofErr w:type="spellEnd"/>
      <w:r>
        <w:t xml:space="preserve"> Academie). Hier worden cursussen en workshops georganiseerd met uiteenlopende thema’s op het vlak van leiderschap, samenwerking en opleiding. Binnen de benigne gynaecologie wordt er actief geparticipeerd in de Consortium studies. </w:t>
      </w:r>
    </w:p>
    <w:p w14:paraId="3EF1D90D" w14:textId="77777777" w:rsidR="00D519C9" w:rsidRDefault="00D519C9" w:rsidP="00D519C9"/>
    <w:p w14:paraId="5F20A24F" w14:textId="77777777" w:rsidR="00D519C9" w:rsidRDefault="00D519C9" w:rsidP="00D519C9"/>
    <w:p w14:paraId="01FFA1B2" w14:textId="77777777" w:rsidR="00D519C9" w:rsidRDefault="00D519C9" w:rsidP="00D519C9">
      <w:r>
        <w:t>Opties:</w:t>
      </w:r>
    </w:p>
    <w:p w14:paraId="46EAD9D8" w14:textId="77777777" w:rsidR="00D519C9" w:rsidRDefault="00D519C9" w:rsidP="00D519C9">
      <w:pPr>
        <w:pStyle w:val="Lijstalinea"/>
        <w:numPr>
          <w:ilvl w:val="0"/>
          <w:numId w:val="1"/>
        </w:numPr>
      </w:pPr>
      <w:r>
        <w:t>Onderwijs geven aan verpleging, poli-assistentes, huisartsen</w:t>
      </w:r>
    </w:p>
    <w:p w14:paraId="3AB40571" w14:textId="77777777" w:rsidR="00D519C9" w:rsidRDefault="00D519C9" w:rsidP="00D519C9">
      <w:pPr>
        <w:pStyle w:val="Lijstalinea"/>
        <w:numPr>
          <w:ilvl w:val="0"/>
          <w:numId w:val="1"/>
        </w:numPr>
      </w:pPr>
      <w:r>
        <w:t xml:space="preserve">Cursusaanbod: </w:t>
      </w:r>
    </w:p>
    <w:p w14:paraId="2741A5F5" w14:textId="77777777" w:rsidR="00D519C9" w:rsidRDefault="00D519C9" w:rsidP="00D519C9">
      <w:pPr>
        <w:pStyle w:val="Lijstalinea"/>
        <w:numPr>
          <w:ilvl w:val="1"/>
          <w:numId w:val="1"/>
        </w:numPr>
      </w:pPr>
      <w:r>
        <w:t>Cursus vulvapathologie (verplicht)</w:t>
      </w:r>
    </w:p>
    <w:p w14:paraId="1C885CAE" w14:textId="77777777" w:rsidR="00D519C9" w:rsidRDefault="00D519C9" w:rsidP="00D519C9">
      <w:pPr>
        <w:pStyle w:val="Lijstalinea"/>
        <w:numPr>
          <w:ilvl w:val="1"/>
          <w:numId w:val="1"/>
        </w:numPr>
      </w:pPr>
      <w:r>
        <w:t>Cursus hysteroscopie (verplicht)</w:t>
      </w:r>
    </w:p>
    <w:p w14:paraId="36584D4A" w14:textId="77777777" w:rsidR="00D519C9" w:rsidRDefault="00D519C9" w:rsidP="00D519C9">
      <w:pPr>
        <w:pStyle w:val="Lijstalinea"/>
        <w:numPr>
          <w:ilvl w:val="1"/>
          <w:numId w:val="1"/>
        </w:numPr>
      </w:pPr>
      <w:r>
        <w:t>Cursus laparoscopie gevorderden (aanbevolen)</w:t>
      </w:r>
    </w:p>
    <w:p w14:paraId="7499CDB2" w14:textId="77777777" w:rsidR="00D519C9" w:rsidRDefault="00D519C9" w:rsidP="00D519C9">
      <w:pPr>
        <w:pStyle w:val="Lijstalinea"/>
        <w:numPr>
          <w:ilvl w:val="1"/>
          <w:numId w:val="1"/>
        </w:numPr>
      </w:pPr>
      <w:r>
        <w:t>Cursus beeldvormende technieken in de gynaecologie (aanbevolen)</w:t>
      </w:r>
    </w:p>
    <w:p w14:paraId="4B75203F" w14:textId="77777777" w:rsidR="00D519C9" w:rsidRDefault="00D519C9" w:rsidP="00D519C9">
      <w:r>
        <w:rPr>
          <w:b/>
          <w:i/>
        </w:rPr>
        <w:t>Communicatie</w:t>
      </w:r>
    </w:p>
    <w:p w14:paraId="6762F105" w14:textId="77777777" w:rsidR="00D519C9" w:rsidRDefault="00D519C9" w:rsidP="00D519C9">
      <w:pPr>
        <w:pStyle w:val="Lijstalinea"/>
        <w:numPr>
          <w:ilvl w:val="0"/>
          <w:numId w:val="1"/>
        </w:numPr>
      </w:pPr>
      <w:r>
        <w:t xml:space="preserve">Onderhouden van relaties met andere disciplines, zoals doktersassistentes, verpleegkundigen, coassistenten, jongere </w:t>
      </w:r>
      <w:proofErr w:type="spellStart"/>
      <w:r>
        <w:t>jaars</w:t>
      </w:r>
      <w:proofErr w:type="spellEnd"/>
      <w:r>
        <w:t xml:space="preserve"> A(N)IOS, medische specialisten (vakgroep gynaecologie en overige vakgroepen). </w:t>
      </w:r>
      <w:r w:rsidRPr="00094D97">
        <w:rPr>
          <w:i/>
        </w:rPr>
        <w:t>Dit wordt beoordeeld in een 360 graden beoordeling</w:t>
      </w:r>
      <w:r>
        <w:t>.</w:t>
      </w:r>
    </w:p>
    <w:p w14:paraId="59C52861" w14:textId="77777777" w:rsidR="00D519C9" w:rsidRDefault="00D519C9" w:rsidP="00D519C9">
      <w:pPr>
        <w:pStyle w:val="Lijstalinea"/>
        <w:numPr>
          <w:ilvl w:val="0"/>
          <w:numId w:val="1"/>
        </w:numPr>
      </w:pPr>
      <w:r>
        <w:t>Participeren in overleg beleidscommissie benigne gynaecologie</w:t>
      </w:r>
    </w:p>
    <w:p w14:paraId="7BAAE9BA" w14:textId="77777777" w:rsidR="00D519C9" w:rsidRDefault="00D519C9" w:rsidP="00D519C9">
      <w:pPr>
        <w:rPr>
          <w:b/>
          <w:i/>
        </w:rPr>
      </w:pPr>
      <w:r>
        <w:rPr>
          <w:b/>
          <w:i/>
        </w:rPr>
        <w:t>Organisatie</w:t>
      </w:r>
    </w:p>
    <w:p w14:paraId="66D57243" w14:textId="77777777" w:rsidR="00D519C9" w:rsidRDefault="00D519C9" w:rsidP="00D519C9">
      <w:pPr>
        <w:pStyle w:val="Lijstalinea"/>
        <w:numPr>
          <w:ilvl w:val="0"/>
          <w:numId w:val="1"/>
        </w:numPr>
      </w:pPr>
      <w:r>
        <w:t>Het leren van, participeren in en organiseren van multidisciplinaire behandelingen</w:t>
      </w:r>
    </w:p>
    <w:p w14:paraId="258D718C" w14:textId="77777777" w:rsidR="00D519C9" w:rsidRDefault="00D519C9" w:rsidP="00D519C9">
      <w:pPr>
        <w:pStyle w:val="Lijstalinea"/>
        <w:numPr>
          <w:ilvl w:val="0"/>
          <w:numId w:val="1"/>
        </w:numPr>
      </w:pPr>
      <w:r>
        <w:t>Voorzitten en organiseren van multidisciplinaire besprekingen</w:t>
      </w:r>
    </w:p>
    <w:p w14:paraId="3E49CF57" w14:textId="77777777" w:rsidR="00D519C9" w:rsidRDefault="00D519C9" w:rsidP="00D519C9">
      <w:pPr>
        <w:pStyle w:val="Lijstalinea"/>
        <w:numPr>
          <w:ilvl w:val="0"/>
          <w:numId w:val="1"/>
        </w:numPr>
      </w:pPr>
      <w:r>
        <w:t>Participeren in verbeter initiatieven ter bevordering van en evaluatie van zinnige en doelmatige zorg</w:t>
      </w:r>
    </w:p>
    <w:p w14:paraId="30A42163" w14:textId="77777777" w:rsidR="00D519C9" w:rsidRDefault="00D519C9" w:rsidP="00D519C9">
      <w:pPr>
        <w:pStyle w:val="Lijstalinea"/>
        <w:numPr>
          <w:ilvl w:val="0"/>
          <w:numId w:val="1"/>
        </w:numPr>
      </w:pPr>
      <w:r>
        <w:t>Participeren of voorzitten van kwaliteitsochtend benigne gynaecologie</w:t>
      </w:r>
    </w:p>
    <w:p w14:paraId="23A19235" w14:textId="77777777" w:rsidR="00D519C9" w:rsidRDefault="00D519C9" w:rsidP="00D519C9">
      <w:r>
        <w:rPr>
          <w:b/>
          <w:i/>
        </w:rPr>
        <w:t>Gezondheidsbevorderaar</w:t>
      </w:r>
    </w:p>
    <w:p w14:paraId="0872BA6C" w14:textId="77777777" w:rsidR="00D519C9" w:rsidRDefault="00D519C9" w:rsidP="00D519C9">
      <w:pPr>
        <w:pStyle w:val="Lijstalinea"/>
        <w:numPr>
          <w:ilvl w:val="0"/>
          <w:numId w:val="1"/>
        </w:numPr>
      </w:pPr>
      <w:r>
        <w:t>Introductie van nieuwe technieken</w:t>
      </w:r>
    </w:p>
    <w:p w14:paraId="3466796E" w14:textId="77777777" w:rsidR="00D519C9" w:rsidRDefault="00D519C9" w:rsidP="00D519C9">
      <w:pPr>
        <w:pStyle w:val="Lijstalinea"/>
        <w:numPr>
          <w:ilvl w:val="0"/>
          <w:numId w:val="1"/>
        </w:numPr>
      </w:pPr>
      <w:r>
        <w:t>Introductie van samenwerkingsverbanden met de 1</w:t>
      </w:r>
      <w:r w:rsidRPr="00AE1BCE">
        <w:rPr>
          <w:vertAlign w:val="superscript"/>
        </w:rPr>
        <w:t>ste</w:t>
      </w:r>
      <w:r>
        <w:t xml:space="preserve"> lijn (bv. 1,5 lijn zorg met huisartsen en verloskundigen)</w:t>
      </w:r>
    </w:p>
    <w:p w14:paraId="5A4D53A4" w14:textId="77777777" w:rsidR="00D519C9" w:rsidRDefault="00D519C9" w:rsidP="00D519C9">
      <w:pPr>
        <w:pStyle w:val="Lijstalinea"/>
        <w:numPr>
          <w:ilvl w:val="0"/>
          <w:numId w:val="1"/>
        </w:numPr>
      </w:pPr>
      <w:r>
        <w:t>Meewerken aan transmurale protocollen</w:t>
      </w:r>
    </w:p>
    <w:p w14:paraId="638E9CE2" w14:textId="77777777" w:rsidR="00D519C9" w:rsidRDefault="00D519C9" w:rsidP="00D519C9">
      <w:r>
        <w:rPr>
          <w:b/>
          <w:i/>
        </w:rPr>
        <w:t>Persoonlijk/Medisch leiderschap</w:t>
      </w:r>
    </w:p>
    <w:p w14:paraId="71256FED" w14:textId="77777777" w:rsidR="00D519C9" w:rsidRPr="00B00C17" w:rsidRDefault="00D519C9" w:rsidP="00D519C9">
      <w:pPr>
        <w:pStyle w:val="Lijstalinea"/>
        <w:numPr>
          <w:ilvl w:val="0"/>
          <w:numId w:val="1"/>
        </w:numPr>
        <w:rPr>
          <w:b/>
          <w:i/>
        </w:rPr>
      </w:pPr>
      <w:r>
        <w:t>Participeren in VIM-commissie</w:t>
      </w:r>
    </w:p>
    <w:p w14:paraId="4443D188" w14:textId="77777777" w:rsidR="00D519C9" w:rsidRPr="007A19F2" w:rsidRDefault="00D519C9" w:rsidP="00D519C9">
      <w:pPr>
        <w:pStyle w:val="Lijstalinea"/>
        <w:numPr>
          <w:ilvl w:val="0"/>
          <w:numId w:val="1"/>
        </w:numPr>
        <w:rPr>
          <w:b/>
          <w:i/>
        </w:rPr>
      </w:pPr>
      <w:r>
        <w:t>Meelopen met Raad van bestuur, bestuur MSBA, afdeling kwaliteit en veiligheid</w:t>
      </w:r>
    </w:p>
    <w:p w14:paraId="78CA20C0" w14:textId="77777777" w:rsidR="00D519C9" w:rsidRDefault="00D519C9" w:rsidP="00D519C9">
      <w:r>
        <w:br/>
      </w:r>
      <w:r>
        <w:rPr>
          <w:b/>
          <w:u w:val="single"/>
        </w:rPr>
        <w:t>Schema</w:t>
      </w:r>
    </w:p>
    <w:p w14:paraId="7D57577D" w14:textId="77777777" w:rsidR="00D519C9" w:rsidRDefault="00D519C9" w:rsidP="00D519C9">
      <w:r>
        <w:t>Het werkschema wordt individueel afgestemd aan de hand van het individueel opleidingsplan. Er zijn verschillende mogelijkheden. Onderstaande schema’s geven het kader aan. Daarnaast moet in het werkschema ruimte zijn voor consolidatie activiteiten (bv supervisie verloskamers, triage) en diensten, waarbij er maximaal 20% dienst gedaan wordt.</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D519C9" w:rsidRPr="008D3638" w14:paraId="56E8DBE2" w14:textId="77777777" w:rsidTr="005D1282">
        <w:tc>
          <w:tcPr>
            <w:tcW w:w="1510" w:type="dxa"/>
          </w:tcPr>
          <w:p w14:paraId="1AC44C6D" w14:textId="77777777" w:rsidR="00D519C9" w:rsidRPr="008D3638" w:rsidRDefault="00D519C9" w:rsidP="005D1282"/>
        </w:tc>
        <w:tc>
          <w:tcPr>
            <w:tcW w:w="1510" w:type="dxa"/>
          </w:tcPr>
          <w:p w14:paraId="77B4A85E" w14:textId="77777777" w:rsidR="00D519C9" w:rsidRPr="008D3638" w:rsidRDefault="00D519C9" w:rsidP="005D1282">
            <w:pPr>
              <w:rPr>
                <w:b/>
              </w:rPr>
            </w:pPr>
            <w:r>
              <w:rPr>
                <w:b/>
              </w:rPr>
              <w:t>maandag</w:t>
            </w:r>
          </w:p>
        </w:tc>
        <w:tc>
          <w:tcPr>
            <w:tcW w:w="1510" w:type="dxa"/>
          </w:tcPr>
          <w:p w14:paraId="68AC15E2" w14:textId="77777777" w:rsidR="00D519C9" w:rsidRPr="008D3638" w:rsidRDefault="00D519C9" w:rsidP="005D1282">
            <w:pPr>
              <w:rPr>
                <w:b/>
              </w:rPr>
            </w:pPr>
            <w:r>
              <w:rPr>
                <w:b/>
              </w:rPr>
              <w:t>dinsdag</w:t>
            </w:r>
          </w:p>
        </w:tc>
        <w:tc>
          <w:tcPr>
            <w:tcW w:w="1510" w:type="dxa"/>
          </w:tcPr>
          <w:p w14:paraId="2CD06322" w14:textId="77777777" w:rsidR="00D519C9" w:rsidRPr="008D3638" w:rsidRDefault="00D519C9" w:rsidP="005D1282">
            <w:pPr>
              <w:rPr>
                <w:b/>
              </w:rPr>
            </w:pPr>
            <w:r>
              <w:rPr>
                <w:b/>
              </w:rPr>
              <w:t>woensdag</w:t>
            </w:r>
          </w:p>
        </w:tc>
        <w:tc>
          <w:tcPr>
            <w:tcW w:w="1511" w:type="dxa"/>
          </w:tcPr>
          <w:p w14:paraId="5177D5A2" w14:textId="77777777" w:rsidR="00D519C9" w:rsidRPr="008D3638" w:rsidRDefault="00D519C9" w:rsidP="005D1282">
            <w:pPr>
              <w:rPr>
                <w:b/>
              </w:rPr>
            </w:pPr>
            <w:r>
              <w:rPr>
                <w:b/>
              </w:rPr>
              <w:t>donderdag</w:t>
            </w:r>
          </w:p>
        </w:tc>
        <w:tc>
          <w:tcPr>
            <w:tcW w:w="1511" w:type="dxa"/>
          </w:tcPr>
          <w:p w14:paraId="7D4B9039" w14:textId="77777777" w:rsidR="00D519C9" w:rsidRPr="008D3638" w:rsidRDefault="00D519C9" w:rsidP="005D1282">
            <w:pPr>
              <w:rPr>
                <w:b/>
              </w:rPr>
            </w:pPr>
            <w:r>
              <w:rPr>
                <w:b/>
              </w:rPr>
              <w:t>vrijdag</w:t>
            </w:r>
          </w:p>
        </w:tc>
      </w:tr>
      <w:tr w:rsidR="00D519C9" w:rsidRPr="008D3638" w14:paraId="5D768B9D" w14:textId="77777777" w:rsidTr="005D1282">
        <w:tc>
          <w:tcPr>
            <w:tcW w:w="1510" w:type="dxa"/>
          </w:tcPr>
          <w:p w14:paraId="3E484CA3" w14:textId="77777777" w:rsidR="00D519C9" w:rsidRPr="008D3638" w:rsidRDefault="00D519C9" w:rsidP="005D1282">
            <w:pPr>
              <w:rPr>
                <w:b/>
              </w:rPr>
            </w:pPr>
            <w:r>
              <w:rPr>
                <w:b/>
              </w:rPr>
              <w:t>ochtend</w:t>
            </w:r>
          </w:p>
        </w:tc>
        <w:tc>
          <w:tcPr>
            <w:tcW w:w="1510" w:type="dxa"/>
          </w:tcPr>
          <w:p w14:paraId="76B0D364" w14:textId="77777777" w:rsidR="00D519C9" w:rsidRPr="008D3638" w:rsidRDefault="00D519C9" w:rsidP="005D1282">
            <w:r>
              <w:t>PBK</w:t>
            </w:r>
          </w:p>
        </w:tc>
        <w:tc>
          <w:tcPr>
            <w:tcW w:w="1510" w:type="dxa"/>
          </w:tcPr>
          <w:p w14:paraId="78AA9CC9" w14:textId="77777777" w:rsidR="00D519C9" w:rsidRPr="008D3638" w:rsidRDefault="00D519C9" w:rsidP="005D1282">
            <w:r>
              <w:t>Poli/ZBK</w:t>
            </w:r>
          </w:p>
        </w:tc>
        <w:tc>
          <w:tcPr>
            <w:tcW w:w="1510" w:type="dxa"/>
          </w:tcPr>
          <w:p w14:paraId="444DB5CB" w14:textId="77777777" w:rsidR="00D519C9" w:rsidRPr="008D3638" w:rsidRDefault="00D519C9" w:rsidP="005D1282">
            <w:r>
              <w:t>PBK</w:t>
            </w:r>
          </w:p>
        </w:tc>
        <w:tc>
          <w:tcPr>
            <w:tcW w:w="1511" w:type="dxa"/>
          </w:tcPr>
          <w:p w14:paraId="74440070" w14:textId="77777777" w:rsidR="00D519C9" w:rsidRPr="008D3638" w:rsidRDefault="00D519C9" w:rsidP="005D1282">
            <w:r>
              <w:t>poli</w:t>
            </w:r>
          </w:p>
        </w:tc>
        <w:tc>
          <w:tcPr>
            <w:tcW w:w="1511" w:type="dxa"/>
          </w:tcPr>
          <w:p w14:paraId="6FD1C4C4" w14:textId="77777777" w:rsidR="00D519C9" w:rsidRPr="008D3638" w:rsidRDefault="00D519C9" w:rsidP="005D1282">
            <w:r>
              <w:t>Poli</w:t>
            </w:r>
          </w:p>
        </w:tc>
      </w:tr>
      <w:tr w:rsidR="00D519C9" w:rsidRPr="008D3638" w14:paraId="782A2D4A" w14:textId="77777777" w:rsidTr="005D1282">
        <w:tc>
          <w:tcPr>
            <w:tcW w:w="1510" w:type="dxa"/>
          </w:tcPr>
          <w:p w14:paraId="27D6DBFB" w14:textId="77777777" w:rsidR="00D519C9" w:rsidRPr="008D3638" w:rsidRDefault="00D519C9" w:rsidP="005D1282">
            <w:pPr>
              <w:rPr>
                <w:b/>
              </w:rPr>
            </w:pPr>
            <w:r w:rsidRPr="008D3638">
              <w:rPr>
                <w:b/>
              </w:rPr>
              <w:t>middag</w:t>
            </w:r>
          </w:p>
        </w:tc>
        <w:tc>
          <w:tcPr>
            <w:tcW w:w="1510" w:type="dxa"/>
          </w:tcPr>
          <w:p w14:paraId="78C1ECC5" w14:textId="77777777" w:rsidR="00D519C9" w:rsidRPr="008D3638" w:rsidRDefault="00D519C9" w:rsidP="005D1282">
            <w:r>
              <w:t>poli</w:t>
            </w:r>
          </w:p>
        </w:tc>
        <w:tc>
          <w:tcPr>
            <w:tcW w:w="1510" w:type="dxa"/>
          </w:tcPr>
          <w:p w14:paraId="42A5316F" w14:textId="77777777" w:rsidR="00D519C9" w:rsidRPr="008D3638" w:rsidRDefault="00D519C9" w:rsidP="005D1282">
            <w:r>
              <w:t>OK</w:t>
            </w:r>
          </w:p>
        </w:tc>
        <w:tc>
          <w:tcPr>
            <w:tcW w:w="1510" w:type="dxa"/>
          </w:tcPr>
          <w:p w14:paraId="56665081" w14:textId="77777777" w:rsidR="00D519C9" w:rsidRPr="008D3638" w:rsidRDefault="00D519C9" w:rsidP="005D1282">
            <w:r>
              <w:t xml:space="preserve">See &amp; </w:t>
            </w:r>
            <w:proofErr w:type="spellStart"/>
            <w:r>
              <w:t>Treat</w:t>
            </w:r>
            <w:proofErr w:type="spellEnd"/>
          </w:p>
        </w:tc>
        <w:tc>
          <w:tcPr>
            <w:tcW w:w="1511" w:type="dxa"/>
          </w:tcPr>
          <w:p w14:paraId="2E2B5542" w14:textId="77777777" w:rsidR="00D519C9" w:rsidRPr="008D3638" w:rsidRDefault="00D519C9" w:rsidP="005D1282">
            <w:r>
              <w:t>OK</w:t>
            </w:r>
          </w:p>
        </w:tc>
        <w:tc>
          <w:tcPr>
            <w:tcW w:w="1511" w:type="dxa"/>
          </w:tcPr>
          <w:p w14:paraId="4F728A22" w14:textId="77777777" w:rsidR="00D519C9" w:rsidRPr="008D3638" w:rsidRDefault="00D519C9" w:rsidP="005D1282">
            <w:r>
              <w:t>Thema</w:t>
            </w:r>
          </w:p>
        </w:tc>
      </w:tr>
    </w:tbl>
    <w:p w14:paraId="741541AD" w14:textId="02F014FE" w:rsidR="007277F6" w:rsidRDefault="00D519C9" w:rsidP="00D519C9">
      <w:r w:rsidRPr="008D3638">
        <w:br/>
      </w:r>
      <w:r w:rsidRPr="007A19F2">
        <w:rPr>
          <w:b/>
          <w:i/>
        </w:rPr>
        <w:br/>
      </w:r>
      <w:r w:rsidRPr="007A19F2">
        <w:rPr>
          <w:b/>
          <w:i/>
        </w:rPr>
        <w:br/>
      </w:r>
    </w:p>
    <w:sectPr w:rsidR="00727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17CD"/>
    <w:multiLevelType w:val="hybridMultilevel"/>
    <w:tmpl w:val="94A4D1B6"/>
    <w:lvl w:ilvl="0" w:tplc="3A183A0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5F3420"/>
    <w:multiLevelType w:val="hybridMultilevel"/>
    <w:tmpl w:val="EEBC3D46"/>
    <w:lvl w:ilvl="0" w:tplc="CA129A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093E6A"/>
    <w:multiLevelType w:val="hybridMultilevel"/>
    <w:tmpl w:val="B9E2A058"/>
    <w:lvl w:ilvl="0" w:tplc="BF607D2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2732845">
    <w:abstractNumId w:val="2"/>
  </w:num>
  <w:num w:numId="2" w16cid:durableId="1854879891">
    <w:abstractNumId w:val="0"/>
  </w:num>
  <w:num w:numId="3" w16cid:durableId="62162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9"/>
    <w:rsid w:val="0028696E"/>
    <w:rsid w:val="00375065"/>
    <w:rsid w:val="00A069E8"/>
    <w:rsid w:val="00D51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2DA"/>
  <w15:chartTrackingRefBased/>
  <w15:docId w15:val="{8846528E-839A-4E82-AFF5-2CE1BB92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9C9"/>
    <w:pPr>
      <w:spacing w:after="200" w:line="276"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19C9"/>
    <w:pPr>
      <w:ind w:left="720"/>
      <w:contextualSpacing/>
    </w:pPr>
  </w:style>
  <w:style w:type="table" w:styleId="Tabelraster">
    <w:name w:val="Table Grid"/>
    <w:basedOn w:val="Standaardtabel"/>
    <w:uiPriority w:val="59"/>
    <w:rsid w:val="00D519C9"/>
    <w:pPr>
      <w:spacing w:after="0" w:line="240"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3492</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Hendriks</dc:creator>
  <cp:keywords/>
  <dc:description/>
  <cp:lastModifiedBy>DJ Hendriks</cp:lastModifiedBy>
  <cp:revision>1</cp:revision>
  <dcterms:created xsi:type="dcterms:W3CDTF">2022-11-17T12:15:00Z</dcterms:created>
  <dcterms:modified xsi:type="dcterms:W3CDTF">2022-11-17T12:16:00Z</dcterms:modified>
</cp:coreProperties>
</file>