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1D4" w:rsidRPr="00B02372" w:rsidRDefault="007661D4">
      <w:pPr>
        <w:rPr>
          <w:rFonts w:ascii="Open Sans" w:hAnsi="Open Sans" w:cs="Open Sans"/>
          <w:b/>
          <w:bCs/>
          <w:sz w:val="24"/>
          <w:szCs w:val="24"/>
        </w:rPr>
      </w:pPr>
      <w:r w:rsidRPr="00B02372">
        <w:rPr>
          <w:rFonts w:ascii="Open Sans" w:hAnsi="Open Sans" w:cs="Open Sans"/>
          <w:b/>
          <w:bCs/>
          <w:sz w:val="24"/>
          <w:szCs w:val="24"/>
        </w:rPr>
        <w:t xml:space="preserve">Differentiatiestage </w:t>
      </w:r>
      <w:proofErr w:type="spellStart"/>
      <w:r w:rsidRPr="00B02372">
        <w:rPr>
          <w:rFonts w:ascii="Open Sans" w:hAnsi="Open Sans" w:cs="Open Sans"/>
          <w:b/>
          <w:bCs/>
          <w:sz w:val="24"/>
          <w:szCs w:val="24"/>
        </w:rPr>
        <w:t>Vestibulologie</w:t>
      </w:r>
      <w:proofErr w:type="spellEnd"/>
    </w:p>
    <w:p w:rsidR="007661D4" w:rsidRPr="00B02372" w:rsidRDefault="007661D4">
      <w:pPr>
        <w:rPr>
          <w:sz w:val="24"/>
          <w:szCs w:val="24"/>
        </w:rPr>
      </w:pPr>
    </w:p>
    <w:p w:rsidR="007661D4" w:rsidRPr="007661D4" w:rsidRDefault="007661D4" w:rsidP="007661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NL"/>
          <w14:ligatures w14:val="none"/>
        </w:rPr>
        <w:t xml:space="preserve">Wat gaat de </w:t>
      </w:r>
      <w:proofErr w:type="spellStart"/>
      <w:r w:rsidRPr="007661D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NL"/>
          <w14:ligatures w14:val="none"/>
        </w:rPr>
        <w:t>aios</w:t>
      </w:r>
      <w:proofErr w:type="spellEnd"/>
      <w:r w:rsidRPr="007661D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NL"/>
          <w14:ligatures w14:val="none"/>
        </w:rPr>
        <w:t xml:space="preserve"> leren?</w:t>
      </w:r>
    </w:p>
    <w:p w:rsidR="007661D4" w:rsidRPr="00B02372" w:rsidRDefault="00B47422" w:rsidP="007661D4">
      <w:pPr>
        <w:shd w:val="clear" w:color="auto" w:fill="FFFFFF"/>
        <w:spacing w:after="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</w:pPr>
      <w:r w:rsidRPr="00B02372">
        <w:rPr>
          <w:rFonts w:ascii="Open Sans" w:hAnsi="Open Sans" w:cs="Open Sans"/>
          <w:sz w:val="24"/>
          <w:szCs w:val="24"/>
          <w:shd w:val="clear" w:color="auto" w:fill="FFFFFF"/>
        </w:rPr>
        <w:t xml:space="preserve">Deze stage betreft één van de mogelijke differentiatierichtingen en geeft de mogelijkheid </w:t>
      </w:r>
      <w:r w:rsidR="00B02372" w:rsidRPr="00B02372">
        <w:rPr>
          <w:rFonts w:ascii="Open Sans" w:hAnsi="Open Sans" w:cs="Open Sans"/>
          <w:sz w:val="24"/>
          <w:szCs w:val="24"/>
          <w:shd w:val="clear" w:color="auto" w:fill="FFFFFF"/>
        </w:rPr>
        <w:t>gedurende het vijfde opleidingsjaar</w:t>
      </w:r>
      <w:r w:rsidR="00B02372" w:rsidRPr="00B02372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r w:rsidRPr="00B02372">
        <w:rPr>
          <w:rFonts w:ascii="Open Sans" w:hAnsi="Open Sans" w:cs="Open Sans"/>
          <w:sz w:val="24"/>
          <w:szCs w:val="24"/>
          <w:shd w:val="clear" w:color="auto" w:fill="FFFFFF"/>
        </w:rPr>
        <w:t xml:space="preserve">20% van de opleidingstijd te besteden aan verdieping </w:t>
      </w:r>
      <w:r w:rsidR="00B02372" w:rsidRPr="00B02372">
        <w:rPr>
          <w:rFonts w:ascii="Open Sans" w:hAnsi="Open Sans" w:cs="Open Sans"/>
          <w:sz w:val="24"/>
          <w:szCs w:val="24"/>
          <w:shd w:val="clear" w:color="auto" w:fill="FFFFFF"/>
        </w:rPr>
        <w:t xml:space="preserve">in de </w:t>
      </w:r>
      <w:proofErr w:type="spellStart"/>
      <w:r w:rsidR="00B02372" w:rsidRPr="00B02372">
        <w:rPr>
          <w:rFonts w:ascii="Open Sans" w:hAnsi="Open Sans" w:cs="Open Sans"/>
          <w:sz w:val="24"/>
          <w:szCs w:val="24"/>
          <w:shd w:val="clear" w:color="auto" w:fill="FFFFFF"/>
        </w:rPr>
        <w:t>vestibulologie</w:t>
      </w:r>
      <w:proofErr w:type="spellEnd"/>
      <w:r w:rsidR="00B02372">
        <w:rPr>
          <w:rFonts w:ascii="Open Sans" w:hAnsi="Open Sans" w:cs="Open Sans"/>
          <w:sz w:val="24"/>
          <w:szCs w:val="24"/>
          <w:shd w:val="clear" w:color="auto" w:fill="FFFFFF"/>
        </w:rPr>
        <w:t xml:space="preserve">. De differentiatie kan evt. gecombineerd worden met de differentiatie otologie </w:t>
      </w:r>
      <w:r w:rsidR="00B02372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(zie ‘Differentiatie otologie’).</w:t>
      </w:r>
      <w:r w:rsidR="00B02372" w:rsidRPr="00B02372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r w:rsidR="007661D4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De different</w:t>
      </w:r>
      <w:r w:rsid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iat</w:t>
      </w:r>
      <w:r w:rsidR="007661D4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i</w:t>
      </w:r>
      <w:r w:rsid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e is gericht op de analyse, diagnostiek en behandeling van </w:t>
      </w:r>
      <w:r w:rsidR="007661D4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duizelige patiënt. </w:t>
      </w:r>
      <w:r w:rsidR="00F64799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De </w:t>
      </w:r>
      <w:proofErr w:type="spellStart"/>
      <w:r w:rsidR="00F64799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differentiant</w:t>
      </w:r>
      <w:proofErr w:type="spellEnd"/>
      <w:r w:rsidR="00F64799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ziet en beoordeelt patiënten met een grote variëteit aan vestibulaire aandoeningen. 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Er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kan 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ruime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ervaring worden opgedaan met 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de uitvoering en interpretatie van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vestibulair functie-onderzoek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(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video-HIT, 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calorisch onderzoek, rotatie-onderzoek</w:t>
      </w:r>
      <w:r w:rsidR="00B02372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,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c-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VEMP</w:t>
      </w:r>
      <w:r w:rsidR="00B02372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, posturografie 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(zowel in LUMC als </w:t>
      </w:r>
      <w:r w:rsidR="00B02372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in het </w:t>
      </w:r>
      <w:r w:rsidR="000C0293" w:rsidRPr="00B02372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Apeldoorns Duizeligheidscentrum)</w:t>
      </w:r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. De </w:t>
      </w:r>
      <w:proofErr w:type="spellStart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differentiant</w:t>
      </w:r>
      <w:proofErr w:type="spellEnd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krijgt de gelegenheid zich te bekwamen in therapeutische interventies zoals </w:t>
      </w:r>
      <w:proofErr w:type="spellStart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canalith</w:t>
      </w:r>
      <w:proofErr w:type="spellEnd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repositiemanoeuvres, vestibulaire revalidatie, </w:t>
      </w:r>
      <w:proofErr w:type="spellStart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intratympanale</w:t>
      </w:r>
      <w:proofErr w:type="spellEnd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behandeling van M. </w:t>
      </w:r>
      <w:proofErr w:type="spellStart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Meniere</w:t>
      </w:r>
      <w:proofErr w:type="spellEnd"/>
      <w:r w:rsidR="000C0293" w:rsidRPr="007661D4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 xml:space="preserve"> en </w:t>
      </w:r>
      <w:r w:rsidR="00F64799">
        <w:rPr>
          <w:rFonts w:ascii="Open Sans" w:eastAsia="Times New Roman" w:hAnsi="Open Sans" w:cs="Open Sans"/>
          <w:kern w:val="0"/>
          <w:sz w:val="24"/>
          <w:szCs w:val="24"/>
          <w:lang w:eastAsia="nl-NL"/>
          <w14:ligatures w14:val="none"/>
        </w:rPr>
        <w:t>operaties voor vestibulaire aandoeningen.</w:t>
      </w:r>
    </w:p>
    <w:p w:rsidR="007661D4" w:rsidRPr="007661D4" w:rsidRDefault="007661D4" w:rsidP="007661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NL"/>
          <w14:ligatures w14:val="none"/>
        </w:rPr>
        <w:t>Hoe ga ik leren?</w:t>
      </w:r>
    </w:p>
    <w:p w:rsidR="00B47422" w:rsidRPr="00B02372" w:rsidRDefault="00B47422" w:rsidP="00B47422">
      <w:pPr>
        <w:pStyle w:val="Default"/>
        <w:rPr>
          <w:rFonts w:ascii="Open Sans" w:hAnsi="Open Sans" w:cs="Open Sans"/>
          <w:color w:val="auto"/>
        </w:rPr>
      </w:pPr>
      <w:r w:rsidRPr="00B02372">
        <w:rPr>
          <w:rFonts w:ascii="Open Sans" w:hAnsi="Open Sans" w:cs="Open Sans"/>
          <w:color w:val="auto"/>
        </w:rPr>
        <w:t xml:space="preserve">De </w:t>
      </w:r>
      <w:proofErr w:type="spellStart"/>
      <w:r w:rsidRPr="00B02372">
        <w:rPr>
          <w:rFonts w:ascii="Open Sans" w:hAnsi="Open Sans" w:cs="Open Sans"/>
          <w:color w:val="auto"/>
        </w:rPr>
        <w:t>differentiant</w:t>
      </w:r>
      <w:proofErr w:type="spellEnd"/>
      <w:r w:rsidRPr="00B02372">
        <w:rPr>
          <w:rFonts w:ascii="Open Sans" w:hAnsi="Open Sans" w:cs="Open Sans"/>
          <w:color w:val="auto"/>
        </w:rPr>
        <w:t xml:space="preserve"> neemt deel aan: </w:t>
      </w:r>
    </w:p>
    <w:p w:rsidR="00E110A7" w:rsidRPr="00B02372" w:rsidRDefault="00B47422" w:rsidP="00E110A7">
      <w:pPr>
        <w:pStyle w:val="Default"/>
        <w:spacing w:after="22"/>
        <w:rPr>
          <w:rFonts w:ascii="Open Sans" w:hAnsi="Open Sans" w:cs="Open Sans"/>
          <w:color w:val="auto"/>
        </w:rPr>
      </w:pPr>
      <w:r w:rsidRPr="00B02372">
        <w:rPr>
          <w:rFonts w:ascii="Open Sans" w:hAnsi="Open Sans" w:cs="Open Sans"/>
          <w:color w:val="auto"/>
        </w:rPr>
        <w:t>- vestibulair/</w:t>
      </w:r>
      <w:proofErr w:type="spellStart"/>
      <w:r w:rsidRPr="00B02372">
        <w:rPr>
          <w:rFonts w:ascii="Open Sans" w:hAnsi="Open Sans" w:cs="Open Sans"/>
          <w:color w:val="auto"/>
        </w:rPr>
        <w:t>otologische</w:t>
      </w:r>
      <w:proofErr w:type="spellEnd"/>
      <w:r w:rsidRPr="00B02372">
        <w:rPr>
          <w:rFonts w:ascii="Open Sans" w:hAnsi="Open Sans" w:cs="Open Sans"/>
          <w:color w:val="auto"/>
        </w:rPr>
        <w:t xml:space="preserve"> spreekuren in het LUMC (ma/wo/vrij) </w:t>
      </w:r>
      <w:r w:rsidR="00E110A7" w:rsidRPr="00B02372">
        <w:rPr>
          <w:rFonts w:ascii="Open Sans" w:hAnsi="Open Sans" w:cs="Open Sans"/>
          <w:color w:val="auto"/>
        </w:rPr>
        <w:t xml:space="preserve">, alsook het </w:t>
      </w:r>
      <w:r w:rsidR="00E110A7" w:rsidRPr="00B02372">
        <w:rPr>
          <w:rFonts w:ascii="Open Sans" w:hAnsi="Open Sans" w:cs="Open Sans"/>
          <w:color w:val="auto"/>
        </w:rPr>
        <w:t xml:space="preserve">multidisciplinair duizeligheidsspreekuur ADC (wo) </w:t>
      </w:r>
    </w:p>
    <w:p w:rsidR="00E110A7" w:rsidRPr="00B02372" w:rsidRDefault="00E110A7" w:rsidP="00E110A7">
      <w:pPr>
        <w:pStyle w:val="Default"/>
        <w:spacing w:after="22"/>
        <w:rPr>
          <w:rFonts w:ascii="Open Sans" w:hAnsi="Open Sans" w:cs="Open Sans"/>
          <w:color w:val="auto"/>
        </w:rPr>
      </w:pPr>
      <w:r w:rsidRPr="00B02372">
        <w:rPr>
          <w:rFonts w:ascii="Open Sans" w:hAnsi="Open Sans" w:cs="Open Sans"/>
          <w:color w:val="auto"/>
        </w:rPr>
        <w:t xml:space="preserve">- maandelijks vestibulair MDO LUMC (ma) </w:t>
      </w:r>
    </w:p>
    <w:p w:rsidR="00B47422" w:rsidRPr="00B02372" w:rsidRDefault="00E110A7" w:rsidP="00B47422">
      <w:pPr>
        <w:pStyle w:val="Default"/>
        <w:spacing w:after="22"/>
        <w:rPr>
          <w:rFonts w:ascii="Open Sans" w:hAnsi="Open Sans" w:cs="Open Sans"/>
          <w:color w:val="auto"/>
        </w:rPr>
      </w:pPr>
      <w:r w:rsidRPr="00B02372">
        <w:rPr>
          <w:rFonts w:ascii="Open Sans" w:hAnsi="Open Sans" w:cs="Open Sans"/>
          <w:color w:val="auto"/>
        </w:rPr>
        <w:t xml:space="preserve">- vestibulair functie-onderzoek (LUMC, ADC) </w:t>
      </w:r>
    </w:p>
    <w:p w:rsidR="00B47422" w:rsidRPr="00B02372" w:rsidRDefault="00B47422" w:rsidP="00B47422">
      <w:pPr>
        <w:pStyle w:val="Default"/>
        <w:spacing w:after="22"/>
        <w:rPr>
          <w:rFonts w:ascii="Open Sans" w:hAnsi="Open Sans" w:cs="Open Sans"/>
          <w:color w:val="auto"/>
          <w:lang w:val="en-US"/>
        </w:rPr>
      </w:pPr>
      <w:r w:rsidRPr="00B02372">
        <w:rPr>
          <w:rFonts w:ascii="Open Sans" w:hAnsi="Open Sans" w:cs="Open Sans"/>
          <w:color w:val="auto"/>
          <w:lang w:val="en-US"/>
        </w:rPr>
        <w:t xml:space="preserve">- </w:t>
      </w:r>
      <w:proofErr w:type="spellStart"/>
      <w:r w:rsidRPr="00B02372">
        <w:rPr>
          <w:rFonts w:ascii="Open Sans" w:hAnsi="Open Sans" w:cs="Open Sans"/>
          <w:color w:val="auto"/>
          <w:lang w:val="en-US"/>
        </w:rPr>
        <w:t>oorchirurgische</w:t>
      </w:r>
      <w:proofErr w:type="spellEnd"/>
      <w:r w:rsidRPr="00B02372">
        <w:rPr>
          <w:rFonts w:ascii="Open Sans" w:hAnsi="Open Sans" w:cs="Open Sans"/>
          <w:color w:val="auto"/>
          <w:lang w:val="en-US"/>
        </w:rPr>
        <w:t xml:space="preserve"> </w:t>
      </w:r>
      <w:proofErr w:type="spellStart"/>
      <w:r w:rsidRPr="00B02372">
        <w:rPr>
          <w:rFonts w:ascii="Open Sans" w:hAnsi="Open Sans" w:cs="Open Sans"/>
          <w:color w:val="auto"/>
          <w:lang w:val="en-US"/>
        </w:rPr>
        <w:t>operaties</w:t>
      </w:r>
      <w:proofErr w:type="spellEnd"/>
      <w:r w:rsidRPr="00B02372">
        <w:rPr>
          <w:rFonts w:ascii="Open Sans" w:hAnsi="Open Sans" w:cs="Open Sans"/>
          <w:color w:val="auto"/>
          <w:lang w:val="en-US"/>
        </w:rPr>
        <w:t xml:space="preserve"> LUMC (di/do) </w:t>
      </w:r>
    </w:p>
    <w:p w:rsidR="007661D4" w:rsidRDefault="00B47422" w:rsidP="00F64799">
      <w:pPr>
        <w:pStyle w:val="Default"/>
        <w:rPr>
          <w:rFonts w:ascii="Open Sans" w:hAnsi="Open Sans" w:cs="Open Sans"/>
          <w:color w:val="auto"/>
        </w:rPr>
      </w:pPr>
      <w:r w:rsidRPr="00B02372">
        <w:rPr>
          <w:rFonts w:ascii="Open Sans" w:hAnsi="Open Sans" w:cs="Open Sans"/>
          <w:color w:val="auto"/>
        </w:rPr>
        <w:t xml:space="preserve">- tweemaandelijks </w:t>
      </w:r>
      <w:proofErr w:type="spellStart"/>
      <w:r w:rsidRPr="00B02372">
        <w:rPr>
          <w:rFonts w:ascii="Open Sans" w:hAnsi="Open Sans" w:cs="Open Sans"/>
          <w:color w:val="auto"/>
        </w:rPr>
        <w:t>journal</w:t>
      </w:r>
      <w:proofErr w:type="spellEnd"/>
      <w:r w:rsidRPr="00B02372">
        <w:rPr>
          <w:rFonts w:ascii="Open Sans" w:hAnsi="Open Sans" w:cs="Open Sans"/>
          <w:color w:val="auto"/>
        </w:rPr>
        <w:t xml:space="preserve"> club ADC (di) </w:t>
      </w:r>
    </w:p>
    <w:p w:rsidR="00F64799" w:rsidRPr="007661D4" w:rsidRDefault="00F64799" w:rsidP="00F64799">
      <w:pPr>
        <w:pStyle w:val="Default"/>
        <w:rPr>
          <w:rFonts w:ascii="Open Sans" w:hAnsi="Open Sans" w:cs="Open Sans"/>
          <w:color w:val="auto"/>
        </w:rPr>
      </w:pP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b/>
          <w:bCs/>
          <w:color w:val="00202F"/>
          <w:kern w:val="0"/>
          <w:sz w:val="24"/>
          <w:szCs w:val="24"/>
          <w:lang w:eastAsia="nl-NL"/>
          <w14:ligatures w14:val="none"/>
        </w:rPr>
        <w:t>Einddoelen</w:t>
      </w: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De AIOS: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heeft kennis van de anatomie, werking en beeldvorming van het evenwichtssysteem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heeft kennis van de juiste inzet en interpretatie van aanvullende vestibulaire en beeldvormende diagnostiek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heeft kennis van timing en toepasbaarheid van verschillende behandelmogelijkheden van BPPD (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canalith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repositiemanoeuvres)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heeft kennis van de medicamenteuze behandeling van diverse vestibulaire aandoeningen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heeft kennis van vestibulaire revalidatie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heeft kennis van de verschillende chirurgische behandelingen (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intratympanale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injectie, posterior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canal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plugging, SCDS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resurfacing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, </w:t>
      </w: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lastRenderedPageBreak/>
        <w:t>neur</w:t>
      </w:r>
      <w:r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o</w:t>
      </w: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tomie n. vestibularis, EDB) en kan een afweging maken bij de indicatiestelling hiertoe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bespreekt in teamverband de diagnostische resultaten van de meest voorkomende vestibulaire aandoeningen in het licht van therapeutische mogelijkheden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legt op adequate wijze de risico’s uit van verschillende behandelingen en bespreekt alternatieven</w:t>
      </w:r>
    </w:p>
    <w:p w:rsidR="007661D4" w:rsidRPr="007661D4" w:rsidRDefault="007661D4" w:rsidP="00766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zorgt voor de juiste verslaglegging in het EPD en correspondentie met verwijzer en de huisarts</w:t>
      </w:r>
    </w:p>
    <w:p w:rsid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00202F"/>
          <w:kern w:val="0"/>
          <w:sz w:val="24"/>
          <w:szCs w:val="24"/>
          <w:lang w:eastAsia="nl-NL"/>
          <w14:ligatures w14:val="none"/>
        </w:rPr>
      </w:pP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b/>
          <w:bCs/>
          <w:color w:val="00202F"/>
          <w:kern w:val="0"/>
          <w:sz w:val="24"/>
          <w:szCs w:val="24"/>
          <w:lang w:eastAsia="nl-NL"/>
          <w14:ligatures w14:val="none"/>
        </w:rPr>
        <w:t>Toetsing</w:t>
      </w: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OSATS betreffende een aantal van de volgende verrichtingen:</w:t>
      </w:r>
    </w:p>
    <w:p w:rsidR="007661D4" w:rsidRPr="007661D4" w:rsidRDefault="007661D4" w:rsidP="007661D4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Dix-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Hallpikemanoeuvre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 xml:space="preserve">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en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 xml:space="preserve"> supine roll test</w:t>
      </w:r>
    </w:p>
    <w:p w:rsidR="007661D4" w:rsidRPr="007661D4" w:rsidRDefault="007661D4" w:rsidP="007661D4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</w:pP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canalith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 xml:space="preserve">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repositiemanoeuvres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 xml:space="preserve"> (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Epleymanoeuvre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 xml:space="preserve">,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Gufonimanoeuvre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, barbecue roll</w:t>
      </w:r>
      <w:r w:rsidR="00F64799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, Yacovinomanoeuvre</w:t>
      </w: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val="en-US" w:eastAsia="nl-NL"/>
          <w14:ligatures w14:val="none"/>
        </w:rPr>
        <w:t>)</w:t>
      </w:r>
    </w:p>
    <w:p w:rsidR="007661D4" w:rsidRPr="007661D4" w:rsidRDefault="007661D4" w:rsidP="007661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intratympanale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injectie</w:t>
      </w: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 </w:t>
      </w: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De AIOS heeft kennis van:</w:t>
      </w:r>
    </w:p>
    <w:p w:rsidR="007661D4" w:rsidRPr="007661D4" w:rsidRDefault="007661D4" w:rsidP="007661D4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Posterior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canal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plugging</w:t>
      </w:r>
    </w:p>
    <w:p w:rsidR="007661D4" w:rsidRPr="007661D4" w:rsidRDefault="007661D4" w:rsidP="007661D4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SCDS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resurfacing</w:t>
      </w:r>
      <w:proofErr w:type="spellEnd"/>
    </w:p>
    <w:p w:rsidR="007661D4" w:rsidRDefault="007661D4" w:rsidP="007661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Neurectomie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n. vestibularis</w:t>
      </w:r>
    </w:p>
    <w:p w:rsidR="007661D4" w:rsidRPr="007661D4" w:rsidRDefault="007661D4" w:rsidP="007661D4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KPB’s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betreffende uit de leerdoelen voortkomende activiteiten, zoals:</w:t>
      </w:r>
    </w:p>
    <w:p w:rsidR="007661D4" w:rsidRPr="007661D4" w:rsidRDefault="007661D4" w:rsidP="007661D4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Interpretatie van diagnostische bevindingen (beeldvormend en vestibulair onderzoek)</w:t>
      </w:r>
    </w:p>
    <w:p w:rsidR="007661D4" w:rsidRPr="007661D4" w:rsidRDefault="007661D4" w:rsidP="007661D4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Bespreken van verschillende behandelmogelijkheden</w:t>
      </w:r>
    </w:p>
    <w:p w:rsidR="007661D4" w:rsidRPr="007661D4" w:rsidRDefault="007661D4" w:rsidP="007661D4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Bespreken van operatieve risico’s</w:t>
      </w:r>
    </w:p>
    <w:p w:rsidR="007661D4" w:rsidRPr="007661D4" w:rsidRDefault="007661D4" w:rsidP="007661D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Postoperatieve visite</w:t>
      </w:r>
    </w:p>
    <w:p w:rsid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</w:p>
    <w:p w:rsidR="007661D4" w:rsidRPr="007661D4" w:rsidRDefault="007661D4" w:rsidP="007661D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Aan het eind van de stage toont de AIOS aan dat zij/hij de poliklinische en chirurgische basiszorg betreffende de </w:t>
      </w:r>
      <w:proofErr w:type="spellStart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patie</w:t>
      </w:r>
      <w:r w:rsidRPr="007661D4">
        <w:rPr>
          <w:rFonts w:ascii="Arial" w:eastAsia="Times New Roman" w:hAnsi="Arial" w:cs="Arial"/>
          <w:color w:val="00202F"/>
          <w:kern w:val="0"/>
          <w:sz w:val="24"/>
          <w:szCs w:val="24"/>
          <w:lang w:eastAsia="nl-NL"/>
          <w14:ligatures w14:val="none"/>
        </w:rPr>
        <w:t>̈</w:t>
      </w: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nt</w:t>
      </w:r>
      <w:proofErr w:type="spellEnd"/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 xml:space="preserve"> met duizeligheid beheerst in een evaluatiegesprek met de aangewezen begeleider (</w:t>
      </w:r>
      <w:r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prof. Dr. T.D. Bruintjes</w:t>
      </w:r>
      <w:r w:rsidRPr="007661D4"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  <w:t>).</w:t>
      </w:r>
    </w:p>
    <w:p w:rsidR="007661D4" w:rsidRPr="007661D4" w:rsidRDefault="007661D4" w:rsidP="007661D4">
      <w:pPr>
        <w:shd w:val="clear" w:color="auto" w:fill="FFFFFF"/>
        <w:spacing w:after="0" w:afterAutospacing="1" w:line="240" w:lineRule="auto"/>
        <w:rPr>
          <w:rFonts w:ascii="Open Sans" w:eastAsia="Times New Roman" w:hAnsi="Open Sans" w:cs="Open Sans"/>
          <w:color w:val="00202F"/>
          <w:kern w:val="0"/>
          <w:sz w:val="24"/>
          <w:szCs w:val="24"/>
          <w:lang w:eastAsia="nl-NL"/>
          <w14:ligatures w14:val="none"/>
        </w:rPr>
      </w:pPr>
    </w:p>
    <w:p w:rsidR="007661D4" w:rsidRDefault="007661D4"/>
    <w:p w:rsidR="007661D4" w:rsidRDefault="007661D4"/>
    <w:p w:rsidR="007661D4" w:rsidRDefault="007661D4"/>
    <w:p w:rsidR="007661D4" w:rsidRDefault="007661D4"/>
    <w:sectPr w:rsidR="00766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BE"/>
    <w:multiLevelType w:val="multilevel"/>
    <w:tmpl w:val="D66A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C4808"/>
    <w:multiLevelType w:val="multilevel"/>
    <w:tmpl w:val="4514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D38DF"/>
    <w:multiLevelType w:val="multilevel"/>
    <w:tmpl w:val="E3FE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11DD2"/>
    <w:multiLevelType w:val="multilevel"/>
    <w:tmpl w:val="8FEA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089616">
    <w:abstractNumId w:val="2"/>
  </w:num>
  <w:num w:numId="2" w16cid:durableId="1890527513">
    <w:abstractNumId w:val="3"/>
  </w:num>
  <w:num w:numId="3" w16cid:durableId="1317421382">
    <w:abstractNumId w:val="0"/>
  </w:num>
  <w:num w:numId="4" w16cid:durableId="170960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D4"/>
    <w:rsid w:val="000167E1"/>
    <w:rsid w:val="000C0293"/>
    <w:rsid w:val="004546B4"/>
    <w:rsid w:val="007661D4"/>
    <w:rsid w:val="00B02372"/>
    <w:rsid w:val="00B47422"/>
    <w:rsid w:val="00E110A7"/>
    <w:rsid w:val="00F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9FF5"/>
  <w15:chartTrackingRefBased/>
  <w15:docId w15:val="{749987D2-5A21-4796-92E3-2BCB1EC9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661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61D4"/>
    <w:rPr>
      <w:b/>
      <w:bCs/>
    </w:rPr>
  </w:style>
  <w:style w:type="paragraph" w:customStyle="1" w:styleId="Default">
    <w:name w:val="Default"/>
    <w:basedOn w:val="Normal"/>
    <w:rsid w:val="007661D4"/>
    <w:pPr>
      <w:autoSpaceDE w:val="0"/>
      <w:autoSpaceDN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Bruintjes, T.D. (KNO)</dc:creator>
  <cp:keywords/>
  <dc:description/>
  <cp:lastModifiedBy>Bruintjes, T.D. (KNO)</cp:lastModifiedBy>
  <cp:revision>1</cp:revision>
  <dcterms:created xsi:type="dcterms:W3CDTF">2025-03-06T17:29:00Z</dcterms:created>
  <dcterms:modified xsi:type="dcterms:W3CDTF">2025-03-06T18:24:00Z</dcterms:modified>
</cp:coreProperties>
</file>